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77777777" w:rsidR="00612B07" w:rsidRPr="00F53ECD" w:rsidRDefault="00106D5E" w:rsidP="00AA6374">
      <w:pPr>
        <w:spacing w:line="276" w:lineRule="auto"/>
        <w:jc w:val="both"/>
        <w:rPr>
          <w:rFonts w:ascii="Calibri" w:hAnsi="Calibri" w:cs="Arial"/>
        </w:rPr>
      </w:pPr>
      <w:r>
        <w:rPr>
          <w:rFonts w:ascii="Calibri" w:hAnsi="Calibri" w:cs="Arial"/>
          <w:noProof/>
          <w:lang w:val="en-IE" w:eastAsia="en-IE"/>
        </w:rPr>
        <w:drawing>
          <wp:anchor distT="0" distB="0" distL="114300" distR="114300" simplePos="0" relativeHeight="251658240" behindDoc="1" locked="0" layoutInCell="1" allowOverlap="1" wp14:anchorId="5B9A418E" wp14:editId="47D1BCC7">
            <wp:simplePos x="0" y="0"/>
            <wp:positionH relativeFrom="column">
              <wp:posOffset>4639945</wp:posOffset>
            </wp:positionH>
            <wp:positionV relativeFrom="paragraph">
              <wp:posOffset>-523875</wp:posOffset>
            </wp:positionV>
            <wp:extent cx="1828800" cy="1095375"/>
            <wp:effectExtent l="0" t="0" r="0" b="9525"/>
            <wp:wrapTight wrapText="bothSides">
              <wp:wrapPolygon edited="0">
                <wp:start x="0" y="0"/>
                <wp:lineTo x="0" y="21412"/>
                <wp:lineTo x="21375" y="21412"/>
                <wp:lineTo x="2137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pic:spPr>
                </pic:pic>
              </a:graphicData>
            </a:graphic>
          </wp:anchor>
        </w:drawing>
      </w:r>
      <w:r>
        <w:rPr>
          <w:rFonts w:ascii="Calibri" w:hAnsi="Calibri" w:cs="Arial"/>
          <w:noProof/>
          <w:lang w:val="en-IE" w:eastAsia="en-IE"/>
        </w:rPr>
        <w:drawing>
          <wp:anchor distT="0" distB="0" distL="114300" distR="114300" simplePos="0" relativeHeight="251657216" behindDoc="1" locked="0" layoutInCell="1" allowOverlap="1" wp14:anchorId="5443F01D" wp14:editId="4D5F6FDC">
            <wp:simplePos x="0" y="0"/>
            <wp:positionH relativeFrom="column">
              <wp:posOffset>-828675</wp:posOffset>
            </wp:positionH>
            <wp:positionV relativeFrom="paragraph">
              <wp:posOffset>-523875</wp:posOffset>
            </wp:positionV>
            <wp:extent cx="3219450" cy="866775"/>
            <wp:effectExtent l="0" t="0" r="0" b="9525"/>
            <wp:wrapTight wrapText="bothSides">
              <wp:wrapPolygon edited="0">
                <wp:start x="0" y="0"/>
                <wp:lineTo x="0" y="21363"/>
                <wp:lineTo x="21472" y="21363"/>
                <wp:lineTo x="2147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866775"/>
                    </a:xfrm>
                    <a:prstGeom prst="rect">
                      <a:avLst/>
                    </a:prstGeom>
                    <a:noFill/>
                  </pic:spPr>
                </pic:pic>
              </a:graphicData>
            </a:graphic>
          </wp:anchor>
        </w:drawing>
      </w:r>
    </w:p>
    <w:p w14:paraId="04EED8CC" w14:textId="77777777" w:rsidR="00612B07" w:rsidRPr="00F53ECD" w:rsidRDefault="00612B07" w:rsidP="00AA6374">
      <w:pPr>
        <w:spacing w:line="276" w:lineRule="auto"/>
        <w:jc w:val="both"/>
        <w:rPr>
          <w:rFonts w:ascii="Calibri" w:hAnsi="Calibri" w:cs="Arial"/>
        </w:rPr>
      </w:pPr>
    </w:p>
    <w:p w14:paraId="59FFB425" w14:textId="77777777" w:rsidR="00612B07" w:rsidRPr="00F53ECD" w:rsidRDefault="00612B07" w:rsidP="00AA6374">
      <w:pPr>
        <w:spacing w:line="276" w:lineRule="auto"/>
        <w:jc w:val="both"/>
        <w:rPr>
          <w:rFonts w:ascii="Calibri" w:hAnsi="Calibri" w:cs="Arial"/>
        </w:rPr>
      </w:pPr>
    </w:p>
    <w:p w14:paraId="41AEC576" w14:textId="77777777" w:rsidR="00D12FA1" w:rsidRPr="00F53ECD" w:rsidRDefault="00D12FA1" w:rsidP="00AA6374">
      <w:pPr>
        <w:spacing w:line="276" w:lineRule="auto"/>
        <w:jc w:val="both"/>
        <w:rPr>
          <w:rFonts w:ascii="Calibri" w:hAnsi="Calibri" w:cs="Arial"/>
          <w:b/>
          <w:sz w:val="28"/>
          <w:szCs w:val="28"/>
        </w:rPr>
      </w:pPr>
      <w:bookmarkStart w:id="0" w:name="_Toc450655805"/>
    </w:p>
    <w:p w14:paraId="68DA076C" w14:textId="77777777" w:rsidR="00D12FA1" w:rsidRPr="00F53ECD" w:rsidRDefault="00D12FA1" w:rsidP="00AA6374">
      <w:pPr>
        <w:spacing w:line="276" w:lineRule="auto"/>
        <w:jc w:val="both"/>
        <w:rPr>
          <w:rFonts w:ascii="Calibri" w:hAnsi="Calibri" w:cs="Arial"/>
          <w:b/>
          <w:sz w:val="28"/>
          <w:szCs w:val="28"/>
        </w:rPr>
      </w:pPr>
    </w:p>
    <w:p w14:paraId="0F5BA5FC" w14:textId="77777777" w:rsidR="00D12FA1" w:rsidRPr="00F53ECD" w:rsidRDefault="00D12FA1" w:rsidP="00AA6374">
      <w:pPr>
        <w:spacing w:line="276" w:lineRule="auto"/>
        <w:jc w:val="both"/>
        <w:rPr>
          <w:rFonts w:ascii="Calibri" w:hAnsi="Calibri" w:cs="Arial"/>
          <w:b/>
          <w:sz w:val="28"/>
          <w:szCs w:val="28"/>
        </w:rPr>
      </w:pPr>
    </w:p>
    <w:p w14:paraId="49FB6FAA" w14:textId="77777777" w:rsidR="0079186D" w:rsidRPr="00F53ECD" w:rsidRDefault="0079186D" w:rsidP="00AA6374">
      <w:pPr>
        <w:spacing w:line="276" w:lineRule="auto"/>
        <w:jc w:val="both"/>
        <w:rPr>
          <w:rFonts w:ascii="Calibri" w:hAnsi="Calibri" w:cs="Arial"/>
          <w:b/>
          <w:sz w:val="28"/>
          <w:szCs w:val="28"/>
        </w:rPr>
      </w:pPr>
    </w:p>
    <w:p w14:paraId="4DF7B2A9" w14:textId="5E70D97E" w:rsidR="00612B07" w:rsidRPr="00AB04E8" w:rsidRDefault="00152D3A" w:rsidP="00AA6374">
      <w:pPr>
        <w:pStyle w:val="Title"/>
        <w:spacing w:line="276" w:lineRule="auto"/>
        <w:rPr>
          <w:color w:val="auto"/>
        </w:rPr>
      </w:pPr>
      <w:r w:rsidRPr="00AB04E8">
        <w:rPr>
          <w:color w:val="auto"/>
        </w:rPr>
        <w:t>TEMPLATE SOP FOR LOCAL ADAPTATION</w:t>
      </w:r>
      <w:bookmarkEnd w:id="0"/>
    </w:p>
    <w:p w14:paraId="328DD86F" w14:textId="5C733BA9" w:rsidR="00612B07" w:rsidRPr="00AB04E8" w:rsidRDefault="00AB04E8" w:rsidP="00AA6374">
      <w:pPr>
        <w:pStyle w:val="Title"/>
        <w:spacing w:line="276" w:lineRule="auto"/>
        <w:rPr>
          <w:color w:val="auto"/>
        </w:rPr>
      </w:pPr>
      <w:r w:rsidRPr="00AB04E8">
        <w:rPr>
          <w:color w:val="auto"/>
        </w:rPr>
        <w:t>SPRAYING IN / TRAY TRANSFER</w:t>
      </w:r>
    </w:p>
    <w:p w14:paraId="06B4E867" w14:textId="77777777" w:rsidR="00612B07" w:rsidRPr="00F53ECD" w:rsidRDefault="00612B07" w:rsidP="00AA6374">
      <w:pPr>
        <w:spacing w:line="276" w:lineRule="auto"/>
      </w:pPr>
    </w:p>
    <w:p w14:paraId="6544753B" w14:textId="77777777" w:rsidR="00612B07" w:rsidRPr="00F53ECD" w:rsidRDefault="00612B07" w:rsidP="00AA6374">
      <w:pPr>
        <w:spacing w:line="276" w:lineRule="auto"/>
      </w:pPr>
    </w:p>
    <w:p w14:paraId="0E525305" w14:textId="77777777" w:rsidR="00612B07" w:rsidRPr="00F53ECD" w:rsidRDefault="00612B07" w:rsidP="00AA6374">
      <w:pPr>
        <w:spacing w:line="276" w:lineRule="auto"/>
      </w:pPr>
    </w:p>
    <w:p w14:paraId="0747A097" w14:textId="77777777" w:rsidR="00612B07" w:rsidRPr="00F53ECD" w:rsidRDefault="00612B07" w:rsidP="00AA6374">
      <w:pPr>
        <w:spacing w:line="276" w:lineRule="auto"/>
      </w:pPr>
    </w:p>
    <w:p w14:paraId="61E8760E" w14:textId="77777777" w:rsidR="00612B07" w:rsidRPr="00F53ECD" w:rsidRDefault="00612B07" w:rsidP="00AA6374">
      <w:pPr>
        <w:spacing w:line="276" w:lineRule="auto"/>
      </w:pPr>
    </w:p>
    <w:p w14:paraId="04841DEE" w14:textId="1D7E1861" w:rsidR="00911422" w:rsidRDefault="00911422" w:rsidP="00AA6374">
      <w:pPr>
        <w:spacing w:line="276" w:lineRule="auto"/>
        <w:jc w:val="center"/>
        <w:rPr>
          <w:b/>
        </w:rPr>
      </w:pPr>
    </w:p>
    <w:p w14:paraId="097A0042" w14:textId="77777777" w:rsidR="00AB04E8" w:rsidRPr="00592555" w:rsidRDefault="00AB04E8" w:rsidP="00AA6374">
      <w:pPr>
        <w:spacing w:line="276" w:lineRule="auto"/>
        <w:jc w:val="center"/>
        <w:rPr>
          <w:b/>
        </w:rPr>
      </w:pPr>
    </w:p>
    <w:p w14:paraId="66947BFF" w14:textId="0AD7BFC3" w:rsidR="006B7B3B" w:rsidRDefault="006B7B3B" w:rsidP="00AA6374">
      <w:pPr>
        <w:spacing w:line="276" w:lineRule="auto"/>
        <w:rPr>
          <w:color w:val="948A54" w:themeColor="background2" w:themeShade="80"/>
        </w:rPr>
      </w:pPr>
    </w:p>
    <w:p w14:paraId="61471B85" w14:textId="77777777" w:rsidR="0058702F" w:rsidRDefault="0058702F" w:rsidP="00AA6374">
      <w:pPr>
        <w:spacing w:line="276" w:lineRule="auto"/>
        <w:rPr>
          <w:color w:val="948A54" w:themeColor="background2" w:themeShade="80"/>
        </w:rPr>
      </w:pPr>
    </w:p>
    <w:p w14:paraId="70F82FBE" w14:textId="77777777" w:rsidR="008C062F" w:rsidRDefault="0022600E" w:rsidP="00AA6374">
      <w:pPr>
        <w:spacing w:line="276" w:lineRule="auto"/>
      </w:pPr>
      <w:r>
        <w:t xml:space="preserve">This template SOP has been developed </w:t>
      </w:r>
      <w:r w:rsidR="008C062F">
        <w:t xml:space="preserve">and approved </w:t>
      </w:r>
      <w:r>
        <w:t xml:space="preserve">by </w:t>
      </w:r>
      <w:r w:rsidR="00E66C36">
        <w:t xml:space="preserve">the </w:t>
      </w:r>
      <w:r>
        <w:t>NCCP</w:t>
      </w:r>
      <w:r w:rsidR="008C062F">
        <w:t>, considering the input of the parenteral SACT Resilience Group. The template is developed considering best practice and supported by evidence, as referenced, where available and appropriate</w:t>
      </w:r>
      <w:r>
        <w:t xml:space="preserve">. </w:t>
      </w:r>
    </w:p>
    <w:p w14:paraId="36D7B970" w14:textId="77777777" w:rsidR="008C062F" w:rsidRDefault="008C062F" w:rsidP="00AA6374">
      <w:pPr>
        <w:spacing w:line="276" w:lineRule="auto"/>
      </w:pPr>
    </w:p>
    <w:p w14:paraId="1A9C9297" w14:textId="69BBDA88" w:rsidR="000173F9" w:rsidRPr="000173F9" w:rsidRDefault="00970C06" w:rsidP="000173F9">
      <w:pPr>
        <w:spacing w:line="276" w:lineRule="auto"/>
      </w:pPr>
      <w:r>
        <w:t xml:space="preserve">Please note that these </w:t>
      </w:r>
      <w:r w:rsidR="000173F9" w:rsidRPr="000173F9">
        <w:t xml:space="preserve">template SOPS </w:t>
      </w:r>
      <w:r w:rsidR="000173F9" w:rsidRPr="000173F9">
        <w:rPr>
          <w:bCs/>
        </w:rPr>
        <w:t>are the minimum requirements to be used in ACU processes</w:t>
      </w:r>
      <w:r w:rsidR="000173F9" w:rsidRPr="000173F9">
        <w:t xml:space="preserve"> which should be adopted and adapted as appropriate to the local processes and documentation templates. </w:t>
      </w:r>
      <w:r w:rsidR="000173F9" w:rsidRPr="000173F9">
        <w:rPr>
          <w:bCs/>
        </w:rPr>
        <w:t>If these minimum requirements cannot be met, the reason for this should be clearly documented locally</w:t>
      </w:r>
      <w:r w:rsidR="000173F9" w:rsidRPr="000173F9">
        <w:t xml:space="preserve">. </w:t>
      </w:r>
    </w:p>
    <w:p w14:paraId="03B061DB" w14:textId="77777777" w:rsidR="000173F9" w:rsidRDefault="000173F9" w:rsidP="000173F9"/>
    <w:p w14:paraId="3FABD095" w14:textId="686E3876" w:rsidR="00B436E1" w:rsidRDefault="00B436E1" w:rsidP="00AA6374">
      <w:pPr>
        <w:spacing w:line="276" w:lineRule="auto"/>
      </w:pPr>
    </w:p>
    <w:p w14:paraId="3D6DB4C1" w14:textId="77777777" w:rsidR="00B436E1" w:rsidRPr="009C5A5F" w:rsidRDefault="00B436E1" w:rsidP="00AA637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4367"/>
        <w:gridCol w:w="2120"/>
      </w:tblGrid>
      <w:tr w:rsidR="00B436E1" w:rsidRPr="00FE3074" w14:paraId="20E4CE1C" w14:textId="77777777" w:rsidTr="008C062F">
        <w:tc>
          <w:tcPr>
            <w:tcW w:w="952" w:type="dxa"/>
            <w:shd w:val="clear" w:color="auto" w:fill="auto"/>
          </w:tcPr>
          <w:p w14:paraId="34BC14AC" w14:textId="77777777" w:rsidR="00B436E1" w:rsidRPr="00FE3074" w:rsidRDefault="00B436E1" w:rsidP="00AA6374">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AA6374">
            <w:pPr>
              <w:spacing w:line="276" w:lineRule="auto"/>
              <w:rPr>
                <w:rFonts w:ascii="Calibri" w:hAnsi="Calibri"/>
                <w:b/>
                <w:sz w:val="20"/>
                <w:szCs w:val="20"/>
              </w:rPr>
            </w:pPr>
            <w:r w:rsidRPr="00FE3074">
              <w:rPr>
                <w:rFonts w:ascii="Calibri" w:hAnsi="Calibri"/>
                <w:b/>
                <w:sz w:val="20"/>
                <w:szCs w:val="20"/>
              </w:rPr>
              <w:t>Date</w:t>
            </w:r>
          </w:p>
        </w:tc>
        <w:tc>
          <w:tcPr>
            <w:tcW w:w="4367" w:type="dxa"/>
            <w:shd w:val="clear" w:color="auto" w:fill="auto"/>
          </w:tcPr>
          <w:p w14:paraId="63792880" w14:textId="77777777" w:rsidR="00B436E1" w:rsidRPr="00FE3074" w:rsidRDefault="00B436E1" w:rsidP="00AA6374">
            <w:pPr>
              <w:spacing w:line="276" w:lineRule="auto"/>
              <w:rPr>
                <w:rFonts w:ascii="Calibri" w:hAnsi="Calibri"/>
                <w:b/>
                <w:sz w:val="20"/>
                <w:szCs w:val="20"/>
              </w:rPr>
            </w:pPr>
            <w:r w:rsidRPr="00FE3074">
              <w:rPr>
                <w:rFonts w:ascii="Calibri" w:hAnsi="Calibri"/>
                <w:b/>
                <w:sz w:val="20"/>
                <w:szCs w:val="20"/>
              </w:rPr>
              <w:t>Amendment</w:t>
            </w:r>
          </w:p>
        </w:tc>
        <w:tc>
          <w:tcPr>
            <w:tcW w:w="2120" w:type="dxa"/>
            <w:shd w:val="clear" w:color="auto" w:fill="auto"/>
          </w:tcPr>
          <w:p w14:paraId="3A13B3C8" w14:textId="77777777" w:rsidR="00B436E1" w:rsidRPr="00FE3074" w:rsidRDefault="00B436E1" w:rsidP="00AA6374">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8C062F">
        <w:tc>
          <w:tcPr>
            <w:tcW w:w="952" w:type="dxa"/>
            <w:shd w:val="clear" w:color="auto" w:fill="auto"/>
          </w:tcPr>
          <w:p w14:paraId="04C3C278" w14:textId="27E7E569" w:rsidR="00B436E1" w:rsidRPr="00FE3074" w:rsidRDefault="00B37175" w:rsidP="00AA6374">
            <w:pPr>
              <w:spacing w:line="276" w:lineRule="auto"/>
              <w:rPr>
                <w:rFonts w:ascii="Calibri" w:hAnsi="Calibri"/>
                <w:sz w:val="20"/>
                <w:szCs w:val="20"/>
              </w:rPr>
            </w:pPr>
            <w:r>
              <w:rPr>
                <w:rFonts w:ascii="Calibri" w:hAnsi="Calibri"/>
                <w:sz w:val="20"/>
                <w:szCs w:val="20"/>
              </w:rPr>
              <w:t>1a</w:t>
            </w:r>
          </w:p>
        </w:tc>
        <w:tc>
          <w:tcPr>
            <w:tcW w:w="1197" w:type="dxa"/>
            <w:shd w:val="clear" w:color="auto" w:fill="auto"/>
          </w:tcPr>
          <w:p w14:paraId="65083535" w14:textId="42FFAA8E" w:rsidR="00B436E1" w:rsidRPr="00FE3074" w:rsidRDefault="000173F9" w:rsidP="0058702F">
            <w:pPr>
              <w:spacing w:line="276" w:lineRule="auto"/>
              <w:rPr>
                <w:rFonts w:ascii="Calibri" w:hAnsi="Calibri"/>
                <w:sz w:val="20"/>
                <w:szCs w:val="20"/>
              </w:rPr>
            </w:pPr>
            <w:r>
              <w:rPr>
                <w:rFonts w:ascii="Calibri" w:hAnsi="Calibri"/>
                <w:sz w:val="20"/>
                <w:szCs w:val="20"/>
              </w:rPr>
              <w:t>20/09/2021</w:t>
            </w:r>
          </w:p>
        </w:tc>
        <w:tc>
          <w:tcPr>
            <w:tcW w:w="4367" w:type="dxa"/>
            <w:shd w:val="clear" w:color="auto" w:fill="auto"/>
          </w:tcPr>
          <w:p w14:paraId="06EE1444" w14:textId="36297AFB" w:rsidR="00B436E1" w:rsidRPr="00FE3074" w:rsidRDefault="00B436E1" w:rsidP="00AA6374">
            <w:pPr>
              <w:spacing w:line="276" w:lineRule="auto"/>
              <w:rPr>
                <w:rFonts w:ascii="Calibri" w:hAnsi="Calibri"/>
                <w:sz w:val="20"/>
                <w:szCs w:val="20"/>
              </w:rPr>
            </w:pPr>
          </w:p>
        </w:tc>
        <w:tc>
          <w:tcPr>
            <w:tcW w:w="2120" w:type="dxa"/>
            <w:shd w:val="clear" w:color="auto" w:fill="auto"/>
          </w:tcPr>
          <w:p w14:paraId="768C184B" w14:textId="1DBC1FE4" w:rsidR="00B436E1" w:rsidRPr="00FE3074" w:rsidRDefault="008C062F" w:rsidP="00AA6374">
            <w:pPr>
              <w:spacing w:line="276" w:lineRule="auto"/>
              <w:rPr>
                <w:rFonts w:ascii="Calibri" w:hAnsi="Calibri"/>
                <w:sz w:val="20"/>
                <w:szCs w:val="20"/>
              </w:rPr>
            </w:pPr>
            <w:r>
              <w:rPr>
                <w:rFonts w:ascii="Calibri" w:hAnsi="Calibri"/>
                <w:sz w:val="20"/>
                <w:szCs w:val="20"/>
              </w:rPr>
              <w:t>NCCP</w:t>
            </w:r>
          </w:p>
        </w:tc>
      </w:tr>
      <w:tr w:rsidR="00592555" w:rsidRPr="00FE3074" w14:paraId="39B39CD3" w14:textId="77777777" w:rsidTr="008C062F">
        <w:tc>
          <w:tcPr>
            <w:tcW w:w="952" w:type="dxa"/>
            <w:shd w:val="clear" w:color="auto" w:fill="auto"/>
          </w:tcPr>
          <w:p w14:paraId="718C5E51" w14:textId="77777777" w:rsidR="00592555" w:rsidRPr="00FE3074" w:rsidRDefault="00592555" w:rsidP="00AA6374">
            <w:pPr>
              <w:spacing w:line="276" w:lineRule="auto"/>
              <w:rPr>
                <w:rFonts w:ascii="Calibri" w:hAnsi="Calibri"/>
                <w:sz w:val="20"/>
                <w:szCs w:val="20"/>
              </w:rPr>
            </w:pPr>
          </w:p>
        </w:tc>
        <w:tc>
          <w:tcPr>
            <w:tcW w:w="1197" w:type="dxa"/>
            <w:shd w:val="clear" w:color="auto" w:fill="auto"/>
          </w:tcPr>
          <w:p w14:paraId="310B4954" w14:textId="77777777" w:rsidR="00592555" w:rsidRPr="00FE3074" w:rsidRDefault="00592555" w:rsidP="00AA6374">
            <w:pPr>
              <w:spacing w:line="276" w:lineRule="auto"/>
              <w:rPr>
                <w:rFonts w:ascii="Calibri" w:hAnsi="Calibri"/>
                <w:sz w:val="20"/>
                <w:szCs w:val="20"/>
              </w:rPr>
            </w:pPr>
          </w:p>
        </w:tc>
        <w:tc>
          <w:tcPr>
            <w:tcW w:w="4367" w:type="dxa"/>
            <w:shd w:val="clear" w:color="auto" w:fill="auto"/>
          </w:tcPr>
          <w:p w14:paraId="1908F7C1" w14:textId="77777777" w:rsidR="00592555" w:rsidRPr="00FE3074" w:rsidRDefault="00592555" w:rsidP="00AA6374">
            <w:pPr>
              <w:spacing w:line="276" w:lineRule="auto"/>
              <w:rPr>
                <w:rFonts w:ascii="Calibri" w:hAnsi="Calibri"/>
                <w:sz w:val="20"/>
                <w:szCs w:val="20"/>
              </w:rPr>
            </w:pPr>
          </w:p>
        </w:tc>
        <w:tc>
          <w:tcPr>
            <w:tcW w:w="2120" w:type="dxa"/>
            <w:shd w:val="clear" w:color="auto" w:fill="auto"/>
          </w:tcPr>
          <w:p w14:paraId="08157199" w14:textId="77777777" w:rsidR="00592555" w:rsidRPr="00FE3074" w:rsidRDefault="00592555" w:rsidP="00AA6374">
            <w:pPr>
              <w:spacing w:line="276" w:lineRule="auto"/>
              <w:rPr>
                <w:rFonts w:ascii="Calibri" w:hAnsi="Calibri"/>
                <w:sz w:val="20"/>
                <w:szCs w:val="20"/>
              </w:rPr>
            </w:pPr>
          </w:p>
        </w:tc>
      </w:tr>
    </w:tbl>
    <w:p w14:paraId="3A9424DE" w14:textId="77777777" w:rsidR="00FD4589" w:rsidRDefault="00FD4589" w:rsidP="00AA6374">
      <w:pPr>
        <w:spacing w:line="276" w:lineRule="auto"/>
      </w:pPr>
      <w:bookmarkStart w:id="1" w:name="_Toc450655808"/>
    </w:p>
    <w:p w14:paraId="605726CC" w14:textId="77777777" w:rsidR="00BC2533" w:rsidRDefault="00BC2533" w:rsidP="00AA6374">
      <w:pPr>
        <w:spacing w:line="276" w:lineRule="auto"/>
      </w:pPr>
    </w:p>
    <w:p w14:paraId="0A784B43" w14:textId="77777777" w:rsidR="00BC2533" w:rsidRDefault="00BC2533" w:rsidP="00AA6374">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bookmarkStart w:id="2" w:name="_GoBack"/>
    <w:bookmarkEnd w:id="1"/>
    <w:bookmarkEnd w:id="2"/>
    <w:p w14:paraId="18F19430" w14:textId="7BDAA9BD" w:rsidR="00612B07" w:rsidRPr="00592555" w:rsidRDefault="002E71AD" w:rsidP="00AA6374">
      <w:pPr>
        <w:pStyle w:val="Heading1"/>
        <w:spacing w:line="276" w:lineRule="auto"/>
      </w:pPr>
      <w:r w:rsidRPr="00D22921">
        <w:fldChar w:fldCharType="begin"/>
      </w:r>
      <w:r w:rsidR="00612B07" w:rsidRPr="00B554A1">
        <w:instrText xml:space="preserve"> TOC \o \t "Heading 2,2" </w:instrText>
      </w:r>
      <w:r w:rsidRPr="00D22921">
        <w:fldChar w:fldCharType="end"/>
      </w:r>
      <w:r w:rsidR="00152D3A">
        <w:t>Purpose</w:t>
      </w:r>
      <w:r w:rsidR="00114F9F">
        <w:tab/>
      </w:r>
      <w:r w:rsidR="00114F9F">
        <w:tab/>
      </w:r>
    </w:p>
    <w:p w14:paraId="43A86E5B" w14:textId="0C6D9F8D" w:rsidR="00592555" w:rsidRPr="001B6143" w:rsidRDefault="00AB04E8" w:rsidP="00AA6374">
      <w:pPr>
        <w:spacing w:line="276" w:lineRule="auto"/>
        <w:jc w:val="both"/>
        <w:rPr>
          <w:rFonts w:ascii="Calibri" w:hAnsi="Calibri" w:cs="Arial"/>
        </w:rPr>
      </w:pPr>
      <w:r>
        <w:rPr>
          <w:rFonts w:ascii="Calibri" w:hAnsi="Calibri" w:cs="Arial"/>
        </w:rPr>
        <w:t>The purpose of this procedure is to describe the transfer of products within an Aseptic Compounding Unit (ACU) in order to minimise the risk of contamination in all areas.</w:t>
      </w:r>
    </w:p>
    <w:p w14:paraId="2F9E84A8" w14:textId="77777777" w:rsidR="00592555" w:rsidRDefault="00592555" w:rsidP="00AA6374">
      <w:pPr>
        <w:spacing w:line="276" w:lineRule="auto"/>
        <w:jc w:val="both"/>
        <w:rPr>
          <w:rFonts w:ascii="Calibri" w:hAnsi="Calibri" w:cs="Arial"/>
        </w:rPr>
      </w:pPr>
    </w:p>
    <w:p w14:paraId="30FA178C" w14:textId="77777777" w:rsidR="00152D3A" w:rsidRPr="00592555" w:rsidRDefault="00152D3A" w:rsidP="00AA6374">
      <w:pPr>
        <w:pStyle w:val="Heading1"/>
        <w:spacing w:line="276" w:lineRule="auto"/>
      </w:pPr>
      <w:r>
        <w:t>Scope</w:t>
      </w:r>
      <w:r>
        <w:tab/>
      </w:r>
      <w:r>
        <w:tab/>
      </w:r>
    </w:p>
    <w:p w14:paraId="399A5639" w14:textId="2EC004A0" w:rsidR="00152D3A" w:rsidRDefault="00152D3A" w:rsidP="00AA6374">
      <w:pPr>
        <w:spacing w:line="276" w:lineRule="auto"/>
        <w:jc w:val="both"/>
        <w:rPr>
          <w:rFonts w:ascii="Calibri" w:hAnsi="Calibri" w:cs="Arial"/>
        </w:rPr>
      </w:pPr>
      <w:r>
        <w:rPr>
          <w:rFonts w:ascii="Calibri" w:hAnsi="Calibri" w:cs="Arial"/>
        </w:rPr>
        <w:t>The scope of this</w:t>
      </w:r>
      <w:r w:rsidR="00AB04E8">
        <w:rPr>
          <w:rFonts w:ascii="Calibri" w:hAnsi="Calibri" w:cs="Arial"/>
        </w:rPr>
        <w:t xml:space="preserve"> procedure outlines the process to be followed for how staff should transfer all items needed for compounding between rooms in ACU. This includes the spraying in of products as well as the transfer of trays and consumables used in the compounding process.</w:t>
      </w:r>
    </w:p>
    <w:p w14:paraId="177E29B2" w14:textId="380D3EE9" w:rsidR="00AB04E8" w:rsidRDefault="00AB04E8" w:rsidP="00AA6374">
      <w:pPr>
        <w:spacing w:line="276" w:lineRule="auto"/>
        <w:jc w:val="both"/>
        <w:rPr>
          <w:rFonts w:ascii="Calibri" w:hAnsi="Calibri" w:cs="Arial"/>
        </w:rPr>
      </w:pPr>
    </w:p>
    <w:p w14:paraId="6F334CBB" w14:textId="05AB65E5" w:rsidR="00AB04E8" w:rsidRDefault="00AB04E8" w:rsidP="00AA6374">
      <w:pPr>
        <w:spacing w:line="276" w:lineRule="auto"/>
        <w:jc w:val="both"/>
        <w:rPr>
          <w:rFonts w:ascii="Calibri" w:hAnsi="Calibri" w:cs="Arial"/>
        </w:rPr>
      </w:pPr>
      <w:r>
        <w:rPr>
          <w:rFonts w:ascii="Calibri" w:hAnsi="Calibri" w:cs="Arial"/>
        </w:rPr>
        <w:t>This pro</w:t>
      </w:r>
      <w:r w:rsidR="0029121F">
        <w:rPr>
          <w:rFonts w:ascii="Calibri" w:hAnsi="Calibri" w:cs="Arial"/>
        </w:rPr>
        <w:t>cedure applies to all personnel</w:t>
      </w:r>
      <w:r>
        <w:rPr>
          <w:rFonts w:ascii="Calibri" w:hAnsi="Calibri" w:cs="Arial"/>
        </w:rPr>
        <w:t xml:space="preserve"> in the ACU.</w:t>
      </w:r>
    </w:p>
    <w:p w14:paraId="74ECDC1C" w14:textId="0A89E6F1" w:rsidR="00AB04E8" w:rsidRDefault="00AB04E8" w:rsidP="00AA6374">
      <w:pPr>
        <w:spacing w:line="276" w:lineRule="auto"/>
        <w:jc w:val="both"/>
        <w:rPr>
          <w:rFonts w:ascii="Calibri" w:hAnsi="Calibri" w:cs="Arial"/>
        </w:rPr>
      </w:pPr>
    </w:p>
    <w:p w14:paraId="218BB9C1" w14:textId="6600C943" w:rsidR="00152D3A" w:rsidRDefault="00AB04E8" w:rsidP="00AA6374">
      <w:pPr>
        <w:spacing w:line="276" w:lineRule="auto"/>
        <w:jc w:val="both"/>
        <w:rPr>
          <w:rFonts w:ascii="Calibri" w:hAnsi="Calibri" w:cs="Arial"/>
        </w:rPr>
      </w:pPr>
      <w:r>
        <w:rPr>
          <w:rFonts w:ascii="Calibri" w:hAnsi="Calibri" w:cs="Arial"/>
        </w:rPr>
        <w:t>All staff should wash their hands as per ACU Handwashing SOP (Template SOP101) upon entry and exit to the ACU to minimise contamination.</w:t>
      </w:r>
    </w:p>
    <w:p w14:paraId="0861E3E1" w14:textId="77777777" w:rsidR="00152D3A" w:rsidRDefault="00152D3A" w:rsidP="00AA6374">
      <w:pPr>
        <w:spacing w:line="276" w:lineRule="auto"/>
        <w:jc w:val="both"/>
        <w:rPr>
          <w:rFonts w:ascii="Calibri" w:hAnsi="Calibri" w:cs="Arial"/>
        </w:rPr>
      </w:pPr>
    </w:p>
    <w:p w14:paraId="2E6FDC25" w14:textId="77777777" w:rsidR="00152D3A" w:rsidRPr="00592555" w:rsidRDefault="00152D3A" w:rsidP="00AA6374">
      <w:pPr>
        <w:pStyle w:val="Heading1"/>
        <w:spacing w:line="276" w:lineRule="auto"/>
      </w:pPr>
      <w:r>
        <w:t>Definitions</w:t>
      </w:r>
      <w:r>
        <w:tab/>
      </w:r>
      <w:r>
        <w:tab/>
      </w:r>
    </w:p>
    <w:tbl>
      <w:tblPr>
        <w:tblStyle w:val="TableGrid"/>
        <w:tblW w:w="0" w:type="auto"/>
        <w:tblLook w:val="04A0" w:firstRow="1" w:lastRow="0" w:firstColumn="1" w:lastColumn="0" w:noHBand="0" w:noVBand="1"/>
      </w:tblPr>
      <w:tblGrid>
        <w:gridCol w:w="3539"/>
        <w:gridCol w:w="5097"/>
      </w:tblGrid>
      <w:tr w:rsidR="00152D3A" w14:paraId="7F2BF9B5" w14:textId="77777777" w:rsidTr="00662D6D">
        <w:tc>
          <w:tcPr>
            <w:tcW w:w="3539" w:type="dxa"/>
          </w:tcPr>
          <w:p w14:paraId="5B7143EA" w14:textId="4C28BB98" w:rsidR="00152D3A" w:rsidRPr="00152D3A" w:rsidRDefault="00AB04E8" w:rsidP="00AA6374">
            <w:pPr>
              <w:spacing w:line="276" w:lineRule="auto"/>
              <w:jc w:val="both"/>
              <w:rPr>
                <w:rFonts w:ascii="Calibri" w:hAnsi="Calibri" w:cs="Arial"/>
                <w:b/>
              </w:rPr>
            </w:pPr>
            <w:r>
              <w:rPr>
                <w:rFonts w:ascii="Calibri" w:hAnsi="Calibri" w:cs="Arial"/>
                <w:b/>
              </w:rPr>
              <w:t>ACU</w:t>
            </w:r>
          </w:p>
        </w:tc>
        <w:tc>
          <w:tcPr>
            <w:tcW w:w="5097" w:type="dxa"/>
          </w:tcPr>
          <w:p w14:paraId="23473E41" w14:textId="2D1137CF" w:rsidR="00152D3A" w:rsidRDefault="00AB04E8" w:rsidP="00AA6374">
            <w:pPr>
              <w:spacing w:line="276" w:lineRule="auto"/>
              <w:jc w:val="both"/>
              <w:rPr>
                <w:rFonts w:ascii="Calibri" w:hAnsi="Calibri" w:cs="Arial"/>
              </w:rPr>
            </w:pPr>
            <w:r>
              <w:rPr>
                <w:rFonts w:ascii="Calibri" w:hAnsi="Calibri" w:cs="Arial"/>
              </w:rPr>
              <w:t xml:space="preserve">Aseptic Compounding Unit </w:t>
            </w:r>
          </w:p>
        </w:tc>
      </w:tr>
      <w:tr w:rsidR="00AB04E8" w14:paraId="5A79DE04" w14:textId="77777777" w:rsidTr="00662D6D">
        <w:tc>
          <w:tcPr>
            <w:tcW w:w="3539" w:type="dxa"/>
          </w:tcPr>
          <w:p w14:paraId="55179A80" w14:textId="4FDCA4FE" w:rsidR="00AB04E8" w:rsidRPr="00AB04E8" w:rsidRDefault="00AB04E8" w:rsidP="00AA6374">
            <w:pPr>
              <w:spacing w:line="276" w:lineRule="auto"/>
              <w:jc w:val="both"/>
              <w:rPr>
                <w:rFonts w:ascii="Calibri" w:hAnsi="Calibri" w:cs="Arial"/>
                <w:b/>
              </w:rPr>
            </w:pPr>
            <w:r w:rsidRPr="00AB04E8">
              <w:rPr>
                <w:rFonts w:ascii="Calibri" w:hAnsi="Calibri" w:cs="Arial"/>
                <w:b/>
              </w:rPr>
              <w:t>LAF</w:t>
            </w:r>
          </w:p>
        </w:tc>
        <w:tc>
          <w:tcPr>
            <w:tcW w:w="5097" w:type="dxa"/>
          </w:tcPr>
          <w:p w14:paraId="058F032F" w14:textId="1F504FE8" w:rsidR="00AB04E8" w:rsidRDefault="00AB04E8" w:rsidP="00AA6374">
            <w:pPr>
              <w:spacing w:line="276" w:lineRule="auto"/>
              <w:jc w:val="both"/>
              <w:rPr>
                <w:rFonts w:ascii="Calibri" w:hAnsi="Calibri" w:cs="Arial"/>
              </w:rPr>
            </w:pPr>
            <w:r>
              <w:rPr>
                <w:rFonts w:ascii="Calibri" w:hAnsi="Calibri" w:cs="Arial"/>
              </w:rPr>
              <w:t>Laminar Air Flow</w:t>
            </w:r>
          </w:p>
        </w:tc>
      </w:tr>
      <w:tr w:rsidR="00AB04E8" w14:paraId="5D4AF644" w14:textId="77777777" w:rsidTr="00662D6D">
        <w:tc>
          <w:tcPr>
            <w:tcW w:w="3539" w:type="dxa"/>
          </w:tcPr>
          <w:p w14:paraId="10472549" w14:textId="62349B62" w:rsidR="00AB04E8" w:rsidRPr="00AB04E8" w:rsidRDefault="00AB04E8" w:rsidP="00AA6374">
            <w:pPr>
              <w:spacing w:line="276" w:lineRule="auto"/>
              <w:jc w:val="both"/>
              <w:rPr>
                <w:rFonts w:ascii="Calibri" w:hAnsi="Calibri" w:cs="Arial"/>
                <w:b/>
              </w:rPr>
            </w:pPr>
            <w:r w:rsidRPr="00AB04E8">
              <w:rPr>
                <w:rFonts w:ascii="Calibri" w:hAnsi="Calibri" w:cs="Arial"/>
                <w:b/>
              </w:rPr>
              <w:t>mAb</w:t>
            </w:r>
          </w:p>
        </w:tc>
        <w:tc>
          <w:tcPr>
            <w:tcW w:w="5097" w:type="dxa"/>
          </w:tcPr>
          <w:p w14:paraId="146E0F3B" w14:textId="1F213F0C" w:rsidR="00AB04E8" w:rsidRDefault="00AB04E8" w:rsidP="00AA6374">
            <w:pPr>
              <w:spacing w:line="276" w:lineRule="auto"/>
              <w:jc w:val="both"/>
              <w:rPr>
                <w:rFonts w:ascii="Calibri" w:hAnsi="Calibri" w:cs="Arial"/>
              </w:rPr>
            </w:pPr>
            <w:r>
              <w:rPr>
                <w:rFonts w:ascii="Calibri" w:hAnsi="Calibri" w:cs="Arial"/>
              </w:rPr>
              <w:t>Monoclonal Antibodies</w:t>
            </w:r>
          </w:p>
        </w:tc>
      </w:tr>
      <w:tr w:rsidR="00AB04E8" w14:paraId="36A50D80" w14:textId="77777777" w:rsidTr="00662D6D">
        <w:tc>
          <w:tcPr>
            <w:tcW w:w="3539" w:type="dxa"/>
          </w:tcPr>
          <w:p w14:paraId="10923B6B" w14:textId="209A4066" w:rsidR="00AB04E8" w:rsidRDefault="00AB04E8" w:rsidP="00AA6374">
            <w:pPr>
              <w:spacing w:line="276" w:lineRule="auto"/>
              <w:jc w:val="both"/>
              <w:rPr>
                <w:rFonts w:ascii="Calibri" w:hAnsi="Calibri" w:cs="Arial"/>
              </w:rPr>
            </w:pPr>
            <w:r w:rsidRPr="00152D3A">
              <w:rPr>
                <w:rFonts w:ascii="Calibri" w:hAnsi="Calibri" w:cs="Arial"/>
                <w:b/>
              </w:rPr>
              <w:t>SACT</w:t>
            </w:r>
          </w:p>
        </w:tc>
        <w:tc>
          <w:tcPr>
            <w:tcW w:w="5097" w:type="dxa"/>
          </w:tcPr>
          <w:p w14:paraId="54FE30DA" w14:textId="58A53F60" w:rsidR="00AB04E8" w:rsidRDefault="00AB04E8" w:rsidP="00AA6374">
            <w:pPr>
              <w:spacing w:line="276" w:lineRule="auto"/>
              <w:jc w:val="both"/>
              <w:rPr>
                <w:rFonts w:ascii="Calibri" w:hAnsi="Calibri" w:cs="Arial"/>
              </w:rPr>
            </w:pPr>
            <w:r w:rsidRPr="00152D3A">
              <w:rPr>
                <w:rFonts w:ascii="Calibri" w:hAnsi="Calibri" w:cs="Arial"/>
              </w:rPr>
              <w:t>Systemic Anti-Cancer Therapy</w:t>
            </w:r>
          </w:p>
        </w:tc>
      </w:tr>
      <w:tr w:rsidR="00AB04E8" w14:paraId="4A4A1A7A" w14:textId="77777777" w:rsidTr="00662D6D">
        <w:tc>
          <w:tcPr>
            <w:tcW w:w="3539" w:type="dxa"/>
          </w:tcPr>
          <w:p w14:paraId="1DA023EF" w14:textId="63615D64" w:rsidR="00AB04E8" w:rsidRPr="00AB04E8" w:rsidRDefault="00AB04E8" w:rsidP="00AA6374">
            <w:pPr>
              <w:spacing w:line="276" w:lineRule="auto"/>
              <w:jc w:val="both"/>
              <w:rPr>
                <w:rFonts w:ascii="Calibri" w:hAnsi="Calibri" w:cs="Arial"/>
                <w:b/>
              </w:rPr>
            </w:pPr>
            <w:r w:rsidRPr="00AB04E8">
              <w:rPr>
                <w:rFonts w:ascii="Calibri" w:hAnsi="Calibri" w:cs="Arial"/>
                <w:b/>
              </w:rPr>
              <w:t>SOP</w:t>
            </w:r>
          </w:p>
        </w:tc>
        <w:tc>
          <w:tcPr>
            <w:tcW w:w="5097" w:type="dxa"/>
          </w:tcPr>
          <w:p w14:paraId="238F44AB" w14:textId="186986C1" w:rsidR="00AB04E8" w:rsidRDefault="00AB04E8" w:rsidP="00AA6374">
            <w:pPr>
              <w:spacing w:line="276" w:lineRule="auto"/>
              <w:jc w:val="both"/>
              <w:rPr>
                <w:rFonts w:ascii="Calibri" w:hAnsi="Calibri" w:cs="Arial"/>
              </w:rPr>
            </w:pPr>
            <w:r>
              <w:rPr>
                <w:rFonts w:ascii="Calibri" w:hAnsi="Calibri" w:cs="Arial"/>
              </w:rPr>
              <w:t>Standard Operating Procedure</w:t>
            </w:r>
          </w:p>
        </w:tc>
      </w:tr>
    </w:tbl>
    <w:p w14:paraId="1FD67283" w14:textId="77777777" w:rsidR="00152D3A" w:rsidRDefault="00152D3A" w:rsidP="00AA6374">
      <w:pPr>
        <w:spacing w:line="276" w:lineRule="auto"/>
        <w:jc w:val="both"/>
        <w:rPr>
          <w:rFonts w:ascii="Calibri" w:hAnsi="Calibri" w:cs="Arial"/>
        </w:rPr>
      </w:pPr>
    </w:p>
    <w:p w14:paraId="00F3BCF9" w14:textId="77777777" w:rsidR="00152D3A" w:rsidRDefault="00152D3A" w:rsidP="00AA6374">
      <w:pPr>
        <w:spacing w:line="276" w:lineRule="auto"/>
        <w:jc w:val="both"/>
        <w:rPr>
          <w:rFonts w:ascii="Calibri" w:hAnsi="Calibri" w:cs="Arial"/>
        </w:rPr>
      </w:pPr>
    </w:p>
    <w:p w14:paraId="21A54479" w14:textId="77777777" w:rsidR="00152D3A" w:rsidRPr="00592555" w:rsidRDefault="00152D3A" w:rsidP="00AA6374">
      <w:pPr>
        <w:pStyle w:val="Heading1"/>
        <w:spacing w:line="276" w:lineRule="auto"/>
      </w:pPr>
      <w:r>
        <w:t>Responsibilities</w:t>
      </w:r>
      <w:r>
        <w:tab/>
      </w:r>
      <w:r>
        <w:tab/>
      </w:r>
    </w:p>
    <w:p w14:paraId="32DF84C2" w14:textId="7758C263" w:rsidR="00152D3A" w:rsidRDefault="00AB04E8" w:rsidP="00AA6374">
      <w:pPr>
        <w:spacing w:line="276" w:lineRule="auto"/>
        <w:jc w:val="both"/>
        <w:rPr>
          <w:rFonts w:ascii="Calibri" w:hAnsi="Calibri" w:cs="Arial"/>
        </w:rPr>
      </w:pPr>
      <w:r>
        <w:rPr>
          <w:rFonts w:ascii="Calibri" w:hAnsi="Calibri" w:cs="Arial"/>
        </w:rPr>
        <w:t>It is the responsibility of the ACU/Pharmacy manager to ensure all staff are trained in and adhere to this procedure.</w:t>
      </w:r>
    </w:p>
    <w:p w14:paraId="23265A0F" w14:textId="7FD12CDE" w:rsidR="00AB04E8" w:rsidRDefault="00AB04E8" w:rsidP="00AA6374">
      <w:pPr>
        <w:spacing w:line="276" w:lineRule="auto"/>
        <w:jc w:val="both"/>
        <w:rPr>
          <w:rFonts w:ascii="Calibri" w:hAnsi="Calibri" w:cs="Arial"/>
        </w:rPr>
      </w:pPr>
    </w:p>
    <w:p w14:paraId="24596A38" w14:textId="01CA5543" w:rsidR="00AB04E8" w:rsidRDefault="00AB04E8" w:rsidP="00AA6374">
      <w:pPr>
        <w:spacing w:line="276" w:lineRule="auto"/>
        <w:jc w:val="both"/>
        <w:rPr>
          <w:rFonts w:ascii="Calibri" w:hAnsi="Calibri" w:cs="Arial"/>
        </w:rPr>
      </w:pPr>
      <w:r>
        <w:rPr>
          <w:rFonts w:ascii="Calibri" w:hAnsi="Calibri" w:cs="Arial"/>
        </w:rPr>
        <w:t>It is the responsibility of all staff to comply with this procedure.</w:t>
      </w:r>
    </w:p>
    <w:p w14:paraId="4A3597D9" w14:textId="77777777" w:rsidR="004B31F9" w:rsidRDefault="004B31F9" w:rsidP="00AA6374">
      <w:pPr>
        <w:spacing w:line="276" w:lineRule="auto"/>
        <w:jc w:val="both"/>
        <w:rPr>
          <w:rFonts w:ascii="Calibri" w:hAnsi="Calibri" w:cs="Arial"/>
        </w:rPr>
      </w:pPr>
    </w:p>
    <w:p w14:paraId="0136961B" w14:textId="77777777" w:rsidR="000E3FFF" w:rsidRDefault="000E3FFF" w:rsidP="000E3FFF">
      <w:pPr>
        <w:spacing w:line="276" w:lineRule="auto"/>
        <w:jc w:val="both"/>
        <w:rPr>
          <w:rFonts w:cstheme="minorHAnsi"/>
        </w:rPr>
      </w:pPr>
      <w:r>
        <w:t xml:space="preserve">It is </w:t>
      </w:r>
      <w:r w:rsidRPr="006F18B3">
        <w:rPr>
          <w:rFonts w:cstheme="minorHAnsi"/>
        </w:rPr>
        <w:t>the responsibility</w:t>
      </w:r>
      <w:r>
        <w:rPr>
          <w:rFonts w:cstheme="minorHAnsi"/>
        </w:rPr>
        <w:t xml:space="preserve"> of all staff to notify the ACU m</w:t>
      </w:r>
      <w:r w:rsidRPr="006F18B3">
        <w:rPr>
          <w:rFonts w:cstheme="minorHAnsi"/>
        </w:rPr>
        <w:t>anager</w:t>
      </w:r>
      <w:r>
        <w:rPr>
          <w:rFonts w:cstheme="minorHAnsi"/>
        </w:rPr>
        <w:t>/Pharmacy manager</w:t>
      </w:r>
      <w:r w:rsidRPr="006F18B3">
        <w:rPr>
          <w:rFonts w:cstheme="minorHAnsi"/>
        </w:rPr>
        <w:t xml:space="preserve"> of any infectious diseases or open lesions on the expos</w:t>
      </w:r>
      <w:r>
        <w:rPr>
          <w:rFonts w:cstheme="minorHAnsi"/>
        </w:rPr>
        <w:t>ed surface of the body. The ACU manager/Pharmacy manager</w:t>
      </w:r>
      <w:r w:rsidRPr="006F18B3">
        <w:rPr>
          <w:rFonts w:cstheme="minorHAnsi"/>
        </w:rPr>
        <w:t xml:space="preserve"> will decide on the fitness of the staff member to carry out activities in the preparation area or clean room and the specific protective measures that should be taken to avoid cont</w:t>
      </w:r>
      <w:r>
        <w:rPr>
          <w:rFonts w:cstheme="minorHAnsi"/>
        </w:rPr>
        <w:t>amination of the product. If</w:t>
      </w:r>
      <w:r w:rsidRPr="006F18B3">
        <w:rPr>
          <w:rFonts w:cstheme="minorHAnsi"/>
        </w:rPr>
        <w:t xml:space="preserve"> adequate protection is</w:t>
      </w:r>
      <w:r>
        <w:rPr>
          <w:rFonts w:cstheme="minorHAnsi"/>
        </w:rPr>
        <w:t xml:space="preserve"> not</w:t>
      </w:r>
      <w:r w:rsidRPr="006F18B3">
        <w:rPr>
          <w:rFonts w:cstheme="minorHAnsi"/>
        </w:rPr>
        <w:t xml:space="preserve"> possible, the person should not be allowed to be involved in preparation or compounding activities.</w:t>
      </w:r>
    </w:p>
    <w:p w14:paraId="7A4239E8" w14:textId="1B4284F3" w:rsidR="000E3FFF" w:rsidRDefault="000E3FFF" w:rsidP="00AA6374">
      <w:pPr>
        <w:spacing w:line="276" w:lineRule="auto"/>
        <w:jc w:val="both"/>
        <w:rPr>
          <w:rFonts w:ascii="Calibri" w:hAnsi="Calibri" w:cs="Arial"/>
        </w:rPr>
      </w:pPr>
    </w:p>
    <w:p w14:paraId="684CD63A" w14:textId="77777777" w:rsidR="00152D3A" w:rsidRPr="00592555" w:rsidRDefault="00152D3A" w:rsidP="00AA6374">
      <w:pPr>
        <w:pStyle w:val="Heading1"/>
        <w:spacing w:line="276" w:lineRule="auto"/>
      </w:pPr>
      <w:r>
        <w:t>Procedure</w:t>
      </w:r>
      <w:r>
        <w:tab/>
      </w:r>
      <w:r>
        <w:tab/>
      </w:r>
    </w:p>
    <w:p w14:paraId="169FF702" w14:textId="77777777" w:rsidR="00146492" w:rsidRPr="00B9036C" w:rsidRDefault="00146492" w:rsidP="00146492">
      <w:pPr>
        <w:spacing w:line="276" w:lineRule="auto"/>
      </w:pPr>
      <w:r w:rsidRPr="00B9036C">
        <w:t>The purpose of wiping is to physically remove spores from the item</w:t>
      </w:r>
      <w:r>
        <w:t xml:space="preserve"> as well as disinfection</w:t>
      </w:r>
      <w:r w:rsidRPr="00B9036C">
        <w:t>.</w:t>
      </w:r>
      <w:r>
        <w:t xml:space="preserve"> Spraying allows penetration to the difficult to reach areas on surfaces.</w:t>
      </w:r>
      <w:r w:rsidRPr="00B9036C">
        <w:t xml:space="preserve"> </w:t>
      </w:r>
    </w:p>
    <w:p w14:paraId="4E2DFC81" w14:textId="1D86CA5C" w:rsidR="00662D6D" w:rsidRDefault="00AB04E8" w:rsidP="00AA6374">
      <w:pPr>
        <w:pStyle w:val="Heading2"/>
        <w:spacing w:line="276" w:lineRule="auto"/>
      </w:pPr>
      <w:r>
        <w:t>Transfer of items from non-sterile into the aseptic area</w:t>
      </w:r>
    </w:p>
    <w:p w14:paraId="553CB2D5" w14:textId="4E7B3CA4" w:rsidR="00662D6D" w:rsidRDefault="00AB04E8" w:rsidP="00AA6374">
      <w:pPr>
        <w:pStyle w:val="ListParagraph"/>
        <w:numPr>
          <w:ilvl w:val="0"/>
          <w:numId w:val="34"/>
        </w:numPr>
        <w:spacing w:line="276" w:lineRule="auto"/>
        <w:jc w:val="both"/>
        <w:rPr>
          <w:rFonts w:ascii="Calibri" w:hAnsi="Calibri" w:cs="Arial"/>
        </w:rPr>
      </w:pPr>
      <w:r>
        <w:rPr>
          <w:rFonts w:ascii="Calibri" w:hAnsi="Calibri" w:cs="Arial"/>
        </w:rPr>
        <w:t>Goods received from a non-sterile area into an aseptic area should be wiped down with IPA 70/30 wipes to remove any dust and bioburden. Gloves should be worn for this step.</w:t>
      </w:r>
    </w:p>
    <w:p w14:paraId="14A58AA5" w14:textId="529781F1" w:rsidR="00662D6D" w:rsidRDefault="00AB04E8" w:rsidP="00AA6374">
      <w:pPr>
        <w:pStyle w:val="ListParagraph"/>
        <w:numPr>
          <w:ilvl w:val="0"/>
          <w:numId w:val="34"/>
        </w:numPr>
        <w:spacing w:line="276" w:lineRule="auto"/>
        <w:jc w:val="both"/>
        <w:rPr>
          <w:rFonts w:ascii="Calibri" w:hAnsi="Calibri" w:cs="Arial"/>
        </w:rPr>
      </w:pPr>
      <w:r>
        <w:rPr>
          <w:rFonts w:ascii="Calibri" w:hAnsi="Calibri" w:cs="Arial"/>
        </w:rPr>
        <w:t>Storage of paper and cardboard in the preparation area should be minimised ensuring that storage requirements of products e.g. protect from light are not impacted.</w:t>
      </w:r>
    </w:p>
    <w:p w14:paraId="2DC499AF" w14:textId="7D398862" w:rsidR="00662D6D" w:rsidRDefault="00901C95" w:rsidP="00AA6374">
      <w:pPr>
        <w:pStyle w:val="ListParagraph"/>
        <w:numPr>
          <w:ilvl w:val="0"/>
          <w:numId w:val="34"/>
        </w:numPr>
        <w:spacing w:line="276" w:lineRule="auto"/>
        <w:jc w:val="both"/>
        <w:rPr>
          <w:rFonts w:ascii="Calibri" w:hAnsi="Calibri" w:cs="Arial"/>
        </w:rPr>
      </w:pPr>
      <w:r>
        <w:rPr>
          <w:rFonts w:ascii="Calibri" w:hAnsi="Calibri" w:cs="Arial"/>
        </w:rPr>
        <w:t>The o</w:t>
      </w:r>
      <w:r w:rsidR="00AB04E8">
        <w:rPr>
          <w:rFonts w:ascii="Calibri" w:hAnsi="Calibri" w:cs="Arial"/>
        </w:rPr>
        <w:t xml:space="preserve">perator should use one alcohol </w:t>
      </w:r>
      <w:r w:rsidR="000936E2">
        <w:rPr>
          <w:rFonts w:ascii="Calibri" w:hAnsi="Calibri" w:cs="Arial"/>
        </w:rPr>
        <w:t xml:space="preserve">wipe </w:t>
      </w:r>
      <w:r w:rsidR="00AB04E8">
        <w:rPr>
          <w:rFonts w:ascii="Calibri" w:hAnsi="Calibri" w:cs="Arial"/>
        </w:rPr>
        <w:t>in each hand and wipe each product in one direction only</w:t>
      </w:r>
      <w:r w:rsidR="000E3DC2">
        <w:rPr>
          <w:rFonts w:ascii="Calibri" w:hAnsi="Calibri" w:cs="Arial"/>
        </w:rPr>
        <w:t>,</w:t>
      </w:r>
      <w:r w:rsidR="00AB04E8">
        <w:rPr>
          <w:rFonts w:ascii="Calibri" w:hAnsi="Calibri" w:cs="Arial"/>
        </w:rPr>
        <w:t xml:space="preserve"> care should only be taken with crevices or folds in packaging and place into aseptic suite hatch.</w:t>
      </w:r>
    </w:p>
    <w:p w14:paraId="67D7C4A2" w14:textId="4B94755A" w:rsidR="00901C95" w:rsidRDefault="00901C95" w:rsidP="00AA6374">
      <w:pPr>
        <w:pStyle w:val="ListParagraph"/>
        <w:numPr>
          <w:ilvl w:val="0"/>
          <w:numId w:val="34"/>
        </w:numPr>
        <w:spacing w:line="276" w:lineRule="auto"/>
        <w:jc w:val="both"/>
        <w:rPr>
          <w:rFonts w:ascii="Calibri" w:hAnsi="Calibri" w:cs="Arial"/>
        </w:rPr>
      </w:pPr>
      <w:r>
        <w:rPr>
          <w:rFonts w:ascii="Calibri" w:hAnsi="Calibri" w:cs="Arial"/>
        </w:rPr>
        <w:t>Items are then removed from the transfer hatch and placed in appropriate storage area in the ACU.</w:t>
      </w:r>
    </w:p>
    <w:p w14:paraId="6A489BD3" w14:textId="77777777" w:rsidR="00662D6D" w:rsidRDefault="00662D6D" w:rsidP="00AA6374">
      <w:pPr>
        <w:spacing w:line="276" w:lineRule="auto"/>
        <w:jc w:val="both"/>
        <w:rPr>
          <w:rFonts w:ascii="Calibri" w:hAnsi="Calibri" w:cs="Arial"/>
        </w:rPr>
      </w:pPr>
    </w:p>
    <w:p w14:paraId="7E8ED1E7" w14:textId="6BD0B86F" w:rsidR="00D337CD" w:rsidRDefault="00901C95" w:rsidP="00AA6374">
      <w:pPr>
        <w:pStyle w:val="Heading2"/>
        <w:spacing w:line="276" w:lineRule="auto"/>
      </w:pPr>
      <w:r>
        <w:t>Procedure for transfer of items from preparation room to cleanroom</w:t>
      </w:r>
    </w:p>
    <w:p w14:paraId="76E01337" w14:textId="533D1F4D" w:rsidR="00146492" w:rsidRDefault="00146492" w:rsidP="0058702F">
      <w:pPr>
        <w:spacing w:line="276" w:lineRule="auto"/>
      </w:pPr>
      <w:r w:rsidRPr="0058702F">
        <w:rPr>
          <w:i/>
        </w:rPr>
        <w:t>The current practice for tray transfer is the use of 70/30 IPA and alcohol wipes as the wipe-spray disinfection technique. International evidence now recommends that a sporicidal step be introduced to this wipe-spray process.</w:t>
      </w:r>
      <w:r>
        <w:rPr>
          <w:i/>
        </w:rPr>
        <w:t xml:space="preserve"> The incorporation of this step into an ACU will be dependent on local infrastructure and processes.</w:t>
      </w:r>
    </w:p>
    <w:p w14:paraId="30836E41" w14:textId="77777777" w:rsidR="00146492" w:rsidRDefault="00146492" w:rsidP="0058702F">
      <w:pPr>
        <w:pStyle w:val="ListParagraph"/>
        <w:spacing w:line="276" w:lineRule="auto"/>
      </w:pPr>
    </w:p>
    <w:p w14:paraId="48178C78" w14:textId="5FD81974" w:rsidR="00D337CD" w:rsidRDefault="00901C95" w:rsidP="00AA6374">
      <w:pPr>
        <w:pStyle w:val="ListParagraph"/>
        <w:numPr>
          <w:ilvl w:val="0"/>
          <w:numId w:val="35"/>
        </w:numPr>
        <w:spacing w:line="276" w:lineRule="auto"/>
      </w:pPr>
      <w:r>
        <w:lastRenderedPageBreak/>
        <w:t>It is recommended that all operators should wear a</w:t>
      </w:r>
      <w:r w:rsidR="00146492">
        <w:t>ppropriate PPE</w:t>
      </w:r>
      <w:r>
        <w:t xml:space="preserve"> while carrying out this procedure.</w:t>
      </w:r>
      <w:r w:rsidR="00146492">
        <w:t xml:space="preserve"> This includes eye goggles and a FFP3 filtered safety mask. Consideration should be given to ventilation in the surrounding environment when undertaking the sporicidal step. </w:t>
      </w:r>
    </w:p>
    <w:p w14:paraId="3AFAAC25" w14:textId="7EB3305E" w:rsidR="00901C95" w:rsidRDefault="00901C95" w:rsidP="00AA6374">
      <w:pPr>
        <w:pStyle w:val="ListParagraph"/>
        <w:numPr>
          <w:ilvl w:val="0"/>
          <w:numId w:val="35"/>
        </w:numPr>
        <w:spacing w:line="276" w:lineRule="auto"/>
      </w:pPr>
      <w:r>
        <w:t>All items for transfer should be gathered in the tray on the worktop at the transfer hatch.</w:t>
      </w:r>
    </w:p>
    <w:p w14:paraId="3B539051" w14:textId="430C9F33" w:rsidR="00901C95" w:rsidRDefault="00901C95" w:rsidP="00AA6374">
      <w:pPr>
        <w:pStyle w:val="ListParagraph"/>
        <w:numPr>
          <w:ilvl w:val="0"/>
          <w:numId w:val="35"/>
        </w:numPr>
        <w:spacing w:line="276" w:lineRule="auto"/>
      </w:pPr>
      <w:r>
        <w:t>Once the items have been checked according to the SOP for tray preparation and checking (NCCP SOP template 104) by a trained staff member, the spraying in procedure can then proceed.</w:t>
      </w:r>
    </w:p>
    <w:p w14:paraId="56442FC2" w14:textId="0B29C0C8" w:rsidR="00901C95" w:rsidRDefault="00901C95" w:rsidP="00AA6374">
      <w:pPr>
        <w:pStyle w:val="ListParagraph"/>
        <w:numPr>
          <w:ilvl w:val="0"/>
          <w:numId w:val="35"/>
        </w:numPr>
        <w:spacing w:line="276" w:lineRule="auto"/>
      </w:pPr>
      <w:r>
        <w:t>The tray for transfer to the hatch</w:t>
      </w:r>
      <w:r w:rsidR="00CE3D93">
        <w:t xml:space="preserve"> should be cleaned with a sporic</w:t>
      </w:r>
      <w:r>
        <w:t>i</w:t>
      </w:r>
      <w:r w:rsidR="00CE3D93">
        <w:t>d</w:t>
      </w:r>
      <w:r>
        <w:t>al wipe</w:t>
      </w:r>
      <w:r w:rsidR="00CE3D93">
        <w:t>,</w:t>
      </w:r>
      <w:r>
        <w:t xml:space="preserve"> with a contact time of 2 minutes in the transfer hatch. The inside of the hatch should not be touched with gloved hands.</w:t>
      </w:r>
    </w:p>
    <w:p w14:paraId="42CFFE09" w14:textId="658691CC" w:rsidR="00901C95" w:rsidRDefault="00901C95" w:rsidP="00AA6374">
      <w:pPr>
        <w:pStyle w:val="ListParagraph"/>
        <w:numPr>
          <w:ilvl w:val="0"/>
          <w:numId w:val="35"/>
        </w:numPr>
        <w:spacing w:line="276" w:lineRule="auto"/>
      </w:pPr>
      <w:r>
        <w:t>Operators from this point on should not touch any item with a gloved hand. A fresh sporicidal wipe should be placed in each hand and the operator’s gloves should not touch any product. Using a sporicidal wipe, each product should be wiped thoroughly, taking care to wipe down all crevices or folds on product packaging. After wiping, products should sit for 2 minutes.</w:t>
      </w:r>
    </w:p>
    <w:p w14:paraId="69CA5F91" w14:textId="77777777" w:rsidR="00901C95" w:rsidRDefault="00901C95" w:rsidP="00AA6374">
      <w:pPr>
        <w:pStyle w:val="ListParagraph"/>
        <w:numPr>
          <w:ilvl w:val="0"/>
          <w:numId w:val="35"/>
        </w:numPr>
        <w:spacing w:line="276" w:lineRule="auto"/>
      </w:pPr>
      <w:r>
        <w:t>Each item should be picked up by using a sporicidal wipe. Item should be sprayed thoroughly with 70/30 IPA, and care taken not to soak paper wrappers.</w:t>
      </w:r>
    </w:p>
    <w:p w14:paraId="0267499C" w14:textId="77777777" w:rsidR="00901C95" w:rsidRDefault="00901C95" w:rsidP="00AA6374">
      <w:pPr>
        <w:pStyle w:val="ListParagraph"/>
        <w:numPr>
          <w:ilvl w:val="0"/>
          <w:numId w:val="35"/>
        </w:numPr>
        <w:spacing w:line="276" w:lineRule="auto"/>
      </w:pPr>
      <w:r>
        <w:t>After spraying, product should be placed directly into appropriate tray/hatch.</w:t>
      </w:r>
    </w:p>
    <w:p w14:paraId="1A536A23" w14:textId="77777777" w:rsidR="00901C95" w:rsidRDefault="00901C95" w:rsidP="00AA6374">
      <w:pPr>
        <w:pStyle w:val="ListParagraph"/>
        <w:numPr>
          <w:ilvl w:val="0"/>
          <w:numId w:val="35"/>
        </w:numPr>
        <w:spacing w:line="276" w:lineRule="auto"/>
      </w:pPr>
      <w:r>
        <w:t>New sporicidal wipes should be used for each tray, or earlier if needed.</w:t>
      </w:r>
    </w:p>
    <w:p w14:paraId="6E04336F" w14:textId="77777777" w:rsidR="00901C95" w:rsidRDefault="00901C95" w:rsidP="00AA6374">
      <w:pPr>
        <w:pStyle w:val="ListParagraph"/>
        <w:numPr>
          <w:ilvl w:val="0"/>
          <w:numId w:val="35"/>
        </w:numPr>
        <w:spacing w:line="276" w:lineRule="auto"/>
      </w:pPr>
      <w:r>
        <w:t>The tray should be allowed to sit for minimum of 2 minutes contact time in the hatch to allow the alcohol to evaporate.</w:t>
      </w:r>
    </w:p>
    <w:p w14:paraId="769434BE" w14:textId="178BF75E" w:rsidR="00901C95" w:rsidRDefault="00901C95" w:rsidP="00AA6374">
      <w:pPr>
        <w:pStyle w:val="ListParagraph"/>
        <w:numPr>
          <w:ilvl w:val="0"/>
          <w:numId w:val="35"/>
        </w:numPr>
        <w:spacing w:line="276" w:lineRule="auto"/>
      </w:pPr>
      <w:r>
        <w:t>Once all required items have been transferred into the hatch the door should be closed to allow the cleanroom operator access to the items in hatch. Using an alcohol wipe in a gloved hand the operator should remove the tray and place onto the trolley/bench</w:t>
      </w:r>
      <w:r w:rsidR="002A66DE">
        <w:t xml:space="preserve"> for checking in advance of compounding.</w:t>
      </w:r>
      <w:r>
        <w:t xml:space="preserve"> </w:t>
      </w:r>
    </w:p>
    <w:p w14:paraId="4A74B3AE" w14:textId="77777777" w:rsidR="00D337CD" w:rsidRDefault="00D337CD" w:rsidP="00AA6374">
      <w:pPr>
        <w:spacing w:line="276" w:lineRule="auto"/>
      </w:pPr>
    </w:p>
    <w:p w14:paraId="7A1DFD1D" w14:textId="208B425C" w:rsidR="00D337CD" w:rsidRDefault="002A66DE" w:rsidP="00AA6374">
      <w:pPr>
        <w:pStyle w:val="Heading2"/>
        <w:spacing w:line="276" w:lineRule="auto"/>
      </w:pPr>
      <w:r>
        <w:t>Procedure f</w:t>
      </w:r>
      <w:r w:rsidR="00D91FEF">
        <w:t>or loading items into the isolator</w:t>
      </w:r>
    </w:p>
    <w:p w14:paraId="6B8438BE" w14:textId="338A154B" w:rsidR="00D337CD" w:rsidRDefault="002A66DE" w:rsidP="00AA6374">
      <w:pPr>
        <w:pStyle w:val="ListParagraph"/>
        <w:numPr>
          <w:ilvl w:val="0"/>
          <w:numId w:val="35"/>
        </w:numPr>
        <w:spacing w:line="276" w:lineRule="auto"/>
      </w:pPr>
      <w:r>
        <w:t>Operator should check that all items required for compounding are present on the tray. Operator should only t</w:t>
      </w:r>
      <w:r w:rsidR="00D91FEF">
        <w:t>ouch the item using an alcohol</w:t>
      </w:r>
      <w:r>
        <w:t xml:space="preserve"> wipe and should avoid touching the item with a gloved hand.</w:t>
      </w:r>
    </w:p>
    <w:p w14:paraId="10AB36FF" w14:textId="100A9688" w:rsidR="002A66DE" w:rsidRDefault="002A66DE" w:rsidP="00AA6374">
      <w:pPr>
        <w:pStyle w:val="ListParagraph"/>
        <w:numPr>
          <w:ilvl w:val="0"/>
          <w:numId w:val="35"/>
        </w:numPr>
        <w:spacing w:line="276" w:lineRule="auto"/>
      </w:pPr>
      <w:r>
        <w:t xml:space="preserve">All items should be placed on </w:t>
      </w:r>
      <w:r w:rsidR="00A61676">
        <w:t>a</w:t>
      </w:r>
      <w:r>
        <w:t xml:space="preserve"> trolley/bench and sprayed lightly with 70/30 IPA, care taken not to soak paper wrappers.</w:t>
      </w:r>
    </w:p>
    <w:p w14:paraId="19E5AC20" w14:textId="54ADB833" w:rsidR="002A66DE" w:rsidRDefault="002A66DE" w:rsidP="00AA6374">
      <w:pPr>
        <w:pStyle w:val="ListParagraph"/>
        <w:numPr>
          <w:ilvl w:val="0"/>
          <w:numId w:val="35"/>
        </w:numPr>
        <w:spacing w:line="276" w:lineRule="auto"/>
      </w:pPr>
      <w:r>
        <w:lastRenderedPageBreak/>
        <w:t>Operator should take one alcohol wipe in each hand and wipe each product in one direction only taking care with crevices or folds in packaging and place into isolator hatch</w:t>
      </w:r>
    </w:p>
    <w:p w14:paraId="2780655B" w14:textId="127D20D1" w:rsidR="002A66DE" w:rsidRDefault="002A66DE" w:rsidP="00AA6374">
      <w:pPr>
        <w:pStyle w:val="ListParagraph"/>
        <w:numPr>
          <w:ilvl w:val="0"/>
          <w:numId w:val="35"/>
        </w:numPr>
        <w:spacing w:line="276" w:lineRule="auto"/>
      </w:pPr>
      <w:r>
        <w:t>If there is a delay in loading the hatch door must be closed between loadings of items.</w:t>
      </w:r>
    </w:p>
    <w:p w14:paraId="393ED8DE" w14:textId="77777777" w:rsidR="005139AF" w:rsidRDefault="002A66DE" w:rsidP="00AA6374">
      <w:pPr>
        <w:pStyle w:val="ListParagraph"/>
        <w:numPr>
          <w:ilvl w:val="0"/>
          <w:numId w:val="35"/>
        </w:numPr>
        <w:spacing w:line="276" w:lineRule="auto"/>
      </w:pPr>
      <w:r>
        <w:t>The items should be allowed to sit in the HEPA air flow of the isolator hatch for 2 minutes before opening the inter-connecting door between the hatch and isolator cabinet. Once the outer door has closed the timer should not allow the inner hatch to open before the correct time period</w:t>
      </w:r>
      <w:r w:rsidR="005139AF">
        <w:t xml:space="preserve"> has ela</w:t>
      </w:r>
      <w:r>
        <w:t>p</w:t>
      </w:r>
      <w:r w:rsidR="005139AF">
        <w:t>s</w:t>
      </w:r>
      <w:r>
        <w:t>ed.</w:t>
      </w:r>
    </w:p>
    <w:p w14:paraId="6560AF71" w14:textId="2D4224F6" w:rsidR="002A66DE" w:rsidRDefault="005139AF" w:rsidP="00AA6374">
      <w:pPr>
        <w:pStyle w:val="ListParagraph"/>
        <w:numPr>
          <w:ilvl w:val="0"/>
          <w:numId w:val="35"/>
        </w:numPr>
        <w:spacing w:line="276" w:lineRule="auto"/>
      </w:pPr>
      <w:r>
        <w:t>Once the time period has elapsed, the operator should remove the items and place inside the isolator compounding area. Items should be placed upright where possible.</w:t>
      </w:r>
    </w:p>
    <w:p w14:paraId="5D90CE5A" w14:textId="718BBF45" w:rsidR="005139AF" w:rsidRDefault="005139AF" w:rsidP="00AA6374">
      <w:pPr>
        <w:pStyle w:val="ListParagraph"/>
        <w:numPr>
          <w:ilvl w:val="0"/>
          <w:numId w:val="35"/>
        </w:numPr>
        <w:spacing w:line="276" w:lineRule="auto"/>
      </w:pPr>
      <w:r>
        <w:t>Inner hatch door should be closed.</w:t>
      </w:r>
    </w:p>
    <w:p w14:paraId="0DD935C7" w14:textId="324CCB66" w:rsidR="006B7B3B" w:rsidRDefault="005139AF" w:rsidP="00AA6374">
      <w:pPr>
        <w:pStyle w:val="ListParagraph"/>
        <w:numPr>
          <w:ilvl w:val="0"/>
          <w:numId w:val="35"/>
        </w:numPr>
        <w:spacing w:line="276" w:lineRule="auto"/>
      </w:pPr>
      <w:r>
        <w:t>The operator should allow time to organised work space inside the isolator before commencing aseptic manipulations. This allows sufficient air changes to take place.</w:t>
      </w:r>
    </w:p>
    <w:p w14:paraId="4723D3F5" w14:textId="77777777" w:rsidR="00726BCF" w:rsidRPr="0022600E" w:rsidRDefault="00726BCF" w:rsidP="00726BCF">
      <w:pPr>
        <w:pStyle w:val="ListParagraph"/>
        <w:spacing w:line="276" w:lineRule="auto"/>
      </w:pPr>
    </w:p>
    <w:p w14:paraId="7943C19E" w14:textId="4440C281" w:rsidR="005139AF" w:rsidRDefault="005139AF" w:rsidP="00AA6374">
      <w:pPr>
        <w:pStyle w:val="Heading2"/>
        <w:spacing w:line="276" w:lineRule="auto"/>
      </w:pPr>
      <w:bookmarkStart w:id="3" w:name="_Toc307134665"/>
      <w:bookmarkStart w:id="4" w:name="_Toc450655837"/>
      <w:r>
        <w:t>Tray transfer procedure into LAF cabinets</w:t>
      </w:r>
    </w:p>
    <w:p w14:paraId="3767C641" w14:textId="673504FF" w:rsidR="005139AF" w:rsidRDefault="005139AF" w:rsidP="00AA6374">
      <w:pPr>
        <w:pStyle w:val="ListParagraph"/>
        <w:numPr>
          <w:ilvl w:val="0"/>
          <w:numId w:val="35"/>
        </w:numPr>
        <w:spacing w:line="276" w:lineRule="auto"/>
      </w:pPr>
      <w:r>
        <w:t>The operator should check all items required for compounding are present before commencing tray transfer procedure. The operator should not touch any item with a gloved hand.</w:t>
      </w:r>
    </w:p>
    <w:p w14:paraId="3CA1059B" w14:textId="06B0D0B3" w:rsidR="005139AF" w:rsidRDefault="005139AF" w:rsidP="00AA6374">
      <w:pPr>
        <w:pStyle w:val="ListParagraph"/>
        <w:numPr>
          <w:ilvl w:val="0"/>
          <w:numId w:val="35"/>
        </w:numPr>
        <w:spacing w:line="276" w:lineRule="auto"/>
      </w:pPr>
      <w:r>
        <w:t>All items should be placed on the trolley/bench and sprayed lightly with 70/30 IPA and care taken to not soak paper wrappers.</w:t>
      </w:r>
    </w:p>
    <w:p w14:paraId="6566BEBC" w14:textId="32A9DD4E" w:rsidR="005139AF" w:rsidRDefault="005139AF" w:rsidP="00AA6374">
      <w:pPr>
        <w:pStyle w:val="ListParagraph"/>
        <w:numPr>
          <w:ilvl w:val="0"/>
          <w:numId w:val="35"/>
        </w:numPr>
        <w:spacing w:line="276" w:lineRule="auto"/>
      </w:pPr>
      <w:r>
        <w:t>The operator should take one alcohol wipe in each and wipe each product, in one direction only, care taken with crevices or folds in packaging and place into LAF cabinet.</w:t>
      </w:r>
    </w:p>
    <w:p w14:paraId="399BD220" w14:textId="104AECEC" w:rsidR="005139AF" w:rsidRDefault="005139AF" w:rsidP="00AA6374">
      <w:pPr>
        <w:pStyle w:val="ListParagraph"/>
        <w:numPr>
          <w:ilvl w:val="0"/>
          <w:numId w:val="35"/>
        </w:numPr>
        <w:spacing w:line="276" w:lineRule="auto"/>
      </w:pPr>
      <w:r>
        <w:t>A period of 2 minutes contact minute time should be given to allow the 70/30 IPA to evaporate before commencing aseptic manipulations.</w:t>
      </w:r>
    </w:p>
    <w:p w14:paraId="39E11E61" w14:textId="77777777" w:rsidR="005139AF" w:rsidRDefault="005139AF" w:rsidP="00AA6374">
      <w:pPr>
        <w:pStyle w:val="ListParagraph"/>
        <w:numPr>
          <w:ilvl w:val="0"/>
          <w:numId w:val="35"/>
        </w:numPr>
        <w:spacing w:line="276" w:lineRule="auto"/>
      </w:pPr>
      <w:r>
        <w:t>The operator must ensure that obstruction of the HEPA filter at the back of the cabinet is kept to a minimum. This is achieved by placing items to the right and left side of the cabinet ensuring that the area in front of the HEPA filter where the operator is working is kept clear.</w:t>
      </w:r>
    </w:p>
    <w:p w14:paraId="256FD288" w14:textId="247B827E" w:rsidR="005139AF" w:rsidRDefault="005139AF" w:rsidP="00AA6374">
      <w:pPr>
        <w:pStyle w:val="ListParagraph"/>
        <w:numPr>
          <w:ilvl w:val="0"/>
          <w:numId w:val="35"/>
        </w:numPr>
        <w:spacing w:line="276" w:lineRule="auto"/>
      </w:pPr>
      <w:r>
        <w:t xml:space="preserve">The most critical items should be placed nearer to the HEPA filter (the back), with the least critical downstream from these items. </w:t>
      </w:r>
    </w:p>
    <w:p w14:paraId="3149F085" w14:textId="19B9568A" w:rsidR="0058702F" w:rsidRDefault="0058702F" w:rsidP="00883173">
      <w:pPr>
        <w:spacing w:line="276" w:lineRule="auto"/>
        <w:ind w:left="360"/>
        <w:rPr>
          <w:b/>
        </w:rPr>
      </w:pPr>
    </w:p>
    <w:p w14:paraId="310219F5" w14:textId="77777777" w:rsidR="0058702F" w:rsidRPr="0058702F" w:rsidRDefault="0058702F" w:rsidP="0058702F"/>
    <w:p w14:paraId="0441D14F" w14:textId="77777777" w:rsidR="0058702F" w:rsidRPr="0058702F" w:rsidRDefault="0058702F" w:rsidP="0058702F"/>
    <w:p w14:paraId="3DDFACB7" w14:textId="11465E45" w:rsidR="00883173" w:rsidRDefault="00883173" w:rsidP="00883173">
      <w:pPr>
        <w:pStyle w:val="Heading2"/>
      </w:pPr>
      <w:r>
        <w:t>Validation of Tray Transfer technique</w:t>
      </w:r>
    </w:p>
    <w:p w14:paraId="10AC27D0" w14:textId="7D92BEBB" w:rsidR="00883173" w:rsidRPr="00883173" w:rsidRDefault="00883173" w:rsidP="00883173">
      <w:pPr>
        <w:pStyle w:val="ListParagraph"/>
        <w:numPr>
          <w:ilvl w:val="0"/>
          <w:numId w:val="36"/>
        </w:numPr>
        <w:spacing w:line="276" w:lineRule="auto"/>
        <w:rPr>
          <w:b/>
        </w:rPr>
      </w:pPr>
      <w:r>
        <w:t xml:space="preserve">Each staff member will be assessed for effectiveness of their Tray Transfer technique. </w:t>
      </w:r>
    </w:p>
    <w:p w14:paraId="06EDEDF7" w14:textId="1DC5A1C0" w:rsidR="005139AF" w:rsidRDefault="00883173" w:rsidP="00883173">
      <w:pPr>
        <w:pStyle w:val="ListParagraph"/>
        <w:numPr>
          <w:ilvl w:val="0"/>
          <w:numId w:val="36"/>
        </w:numPr>
        <w:spacing w:line="276" w:lineRule="auto"/>
        <w:rPr>
          <w:b/>
        </w:rPr>
      </w:pPr>
      <w:r>
        <w:t>This should be performed by direct observation by a trained competent member of staff. Other validation such as swabs and/or plates may be determined by local policy</w:t>
      </w:r>
      <w:r w:rsidR="004B31F9">
        <w:rPr>
          <w:b/>
        </w:rPr>
        <w:t>.</w:t>
      </w:r>
    </w:p>
    <w:p w14:paraId="1BE479EE" w14:textId="78F99FAF" w:rsidR="004B31F9" w:rsidRDefault="004B31F9">
      <w:pPr>
        <w:rPr>
          <w:b/>
          <w:lang w:val="en-IE" w:eastAsia="en-GB"/>
        </w:rPr>
      </w:pPr>
      <w:r>
        <w:rPr>
          <w:b/>
        </w:rPr>
        <w:br w:type="page"/>
      </w:r>
    </w:p>
    <w:p w14:paraId="3DF037ED" w14:textId="77777777" w:rsidR="00612B07" w:rsidRDefault="00612B07" w:rsidP="00AA6374">
      <w:pPr>
        <w:pStyle w:val="Heading1"/>
        <w:spacing w:line="276" w:lineRule="auto"/>
      </w:pPr>
      <w:bookmarkStart w:id="5" w:name="_Toc452719428"/>
      <w:bookmarkStart w:id="6" w:name="_Toc15384034"/>
      <w:r w:rsidRPr="00ED54DE">
        <w:t>References</w:t>
      </w:r>
      <w:bookmarkEnd w:id="3"/>
      <w:bookmarkEnd w:id="4"/>
      <w:bookmarkEnd w:id="5"/>
      <w:bookmarkEnd w:id="6"/>
    </w:p>
    <w:p w14:paraId="439E5544" w14:textId="77777777" w:rsidR="00857D59" w:rsidRDefault="00857D59" w:rsidP="00AA6374">
      <w:pPr>
        <w:spacing w:line="276" w:lineRule="auto"/>
      </w:pPr>
    </w:p>
    <w:p w14:paraId="78CEFCA7" w14:textId="36C27930" w:rsidR="005139AF" w:rsidRDefault="005139AF" w:rsidP="00AA6374">
      <w:pPr>
        <w:pStyle w:val="ListParagraph"/>
        <w:numPr>
          <w:ilvl w:val="0"/>
          <w:numId w:val="33"/>
        </w:numPr>
        <w:spacing w:line="276" w:lineRule="auto"/>
      </w:pPr>
      <w:r w:rsidRPr="000F688D">
        <w:t>Guidance for Aseptic Transfer Processes in the NHS: Addressing Sporicidal Issues</w:t>
      </w:r>
      <w:r>
        <w:t xml:space="preserve"> 1</w:t>
      </w:r>
      <w:r w:rsidRPr="005139AF">
        <w:rPr>
          <w:vertAlign w:val="superscript"/>
        </w:rPr>
        <w:t>st</w:t>
      </w:r>
      <w:r>
        <w:t xml:space="preserve"> edition 2015. </w:t>
      </w:r>
      <w:hyperlink r:id="rId12" w:history="1">
        <w:r w:rsidRPr="00953CAB">
          <w:rPr>
            <w:rStyle w:val="Hyperlink"/>
          </w:rPr>
          <w:t>https://www.gerpac.net/plateforme/pluginfile.php/991/mod_resource/content/1/NHS%20PQAC%20YCD%20Guidance%20for%20Aseptic%20Transfer%20-%20Sporicidal%20Disinfectants%202015%201st%20Edn%20%282%29.pdf</w:t>
        </w:r>
      </w:hyperlink>
    </w:p>
    <w:p w14:paraId="7DF29B09" w14:textId="3856389A" w:rsidR="005139AF" w:rsidRDefault="005139AF" w:rsidP="00AA6374">
      <w:pPr>
        <w:pStyle w:val="ListParagraph"/>
        <w:numPr>
          <w:ilvl w:val="0"/>
          <w:numId w:val="33"/>
        </w:numPr>
        <w:spacing w:line="276" w:lineRule="auto"/>
      </w:pPr>
      <w:r>
        <w:t>Quality Assurance of Aseptic Preparation Services: Standards</w:t>
      </w:r>
      <w:r w:rsidR="000D202E">
        <w:t xml:space="preserve"> Handbook</w:t>
      </w:r>
      <w:r>
        <w:t xml:space="preserve"> 5</w:t>
      </w:r>
      <w:r w:rsidRPr="005139AF">
        <w:rPr>
          <w:vertAlign w:val="superscript"/>
        </w:rPr>
        <w:t>th</w:t>
      </w:r>
      <w:r w:rsidR="000D202E">
        <w:t xml:space="preserve"> E</w:t>
      </w:r>
      <w:r>
        <w:t>dition. Alison M</w:t>
      </w:r>
      <w:r w:rsidR="000D202E">
        <w:t>. Beaney</w:t>
      </w:r>
      <w:r>
        <w:t xml:space="preserve"> 2016</w:t>
      </w:r>
    </w:p>
    <w:p w14:paraId="29F3CCD0" w14:textId="0905054F" w:rsidR="005C2513" w:rsidRDefault="005C2513" w:rsidP="005C2513">
      <w:pPr>
        <w:numPr>
          <w:ilvl w:val="0"/>
          <w:numId w:val="33"/>
        </w:numPr>
        <w:autoSpaceDE w:val="0"/>
        <w:autoSpaceDN w:val="0"/>
        <w:adjustRightInd w:val="0"/>
        <w:spacing w:line="276" w:lineRule="auto"/>
        <w:jc w:val="both"/>
        <w:rPr>
          <w:rFonts w:ascii="Calibri" w:hAnsi="Calibri" w:cs="Calibri"/>
          <w:color w:val="000000"/>
          <w:lang w:eastAsia="en-IE"/>
        </w:rPr>
      </w:pPr>
      <w:r>
        <w:t>3.</w:t>
      </w:r>
      <w:r w:rsidRPr="005C2513">
        <w:rPr>
          <w:rFonts w:ascii="Calibri" w:hAnsi="Calibri" w:cs="Calibri"/>
          <w:color w:val="000000"/>
          <w:lang w:eastAsia="en-IE"/>
        </w:rPr>
        <w:t xml:space="preserve"> </w:t>
      </w:r>
      <w:r w:rsidRPr="00650626">
        <w:rPr>
          <w:rFonts w:ascii="Calibri" w:hAnsi="Calibri" w:cs="Calibri"/>
          <w:color w:val="000000"/>
          <w:lang w:eastAsia="en-IE"/>
        </w:rPr>
        <w:t>ASHP</w:t>
      </w:r>
      <w:r w:rsidRPr="00650626">
        <w:rPr>
          <w:rFonts w:cstheme="minorHAnsi"/>
        </w:rPr>
        <w:t xml:space="preserve"> Guidelines on Compounding Sterile Preparations. Am J Health Syst Pharm. 2014 Jan 15;71(2):145-66</w:t>
      </w:r>
    </w:p>
    <w:p w14:paraId="5EC63706" w14:textId="59A4B1C1" w:rsidR="005C2513" w:rsidRDefault="005C2513" w:rsidP="005C2513">
      <w:pPr>
        <w:pStyle w:val="ListParagraph"/>
        <w:spacing w:line="276" w:lineRule="auto"/>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F90D25" w14:paraId="0A63FDED" w14:textId="77777777" w:rsidTr="00970C06">
        <w:tc>
          <w:tcPr>
            <w:tcW w:w="1129" w:type="dxa"/>
            <w:tcBorders>
              <w:top w:val="single" w:sz="4" w:space="0" w:color="auto"/>
              <w:left w:val="single" w:sz="4" w:space="0" w:color="auto"/>
              <w:bottom w:val="single" w:sz="4" w:space="0" w:color="auto"/>
              <w:right w:val="single" w:sz="4" w:space="0" w:color="auto"/>
            </w:tcBorders>
            <w:hideMark/>
          </w:tcPr>
          <w:p w14:paraId="2A3C43E0" w14:textId="77777777" w:rsidR="00F90D25" w:rsidRDefault="00F90D25">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504A451" w14:textId="77777777" w:rsidR="00F90D25" w:rsidRDefault="00F90D25">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7E209D40" w14:textId="77777777" w:rsidR="00F90D25" w:rsidRDefault="00F90D25">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443D9AAF" w14:textId="77777777" w:rsidR="00F90D25" w:rsidRDefault="00F90D25">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F90D25" w14:paraId="4008AD7E" w14:textId="77777777" w:rsidTr="00970C06">
        <w:tc>
          <w:tcPr>
            <w:tcW w:w="1129" w:type="dxa"/>
            <w:tcBorders>
              <w:top w:val="single" w:sz="4" w:space="0" w:color="auto"/>
              <w:left w:val="single" w:sz="4" w:space="0" w:color="auto"/>
              <w:bottom w:val="single" w:sz="4" w:space="0" w:color="auto"/>
              <w:right w:val="single" w:sz="4" w:space="0" w:color="auto"/>
            </w:tcBorders>
            <w:hideMark/>
          </w:tcPr>
          <w:p w14:paraId="3911121D"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5EF0B208"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52EAD265" w14:textId="77777777" w:rsidR="00F90D25" w:rsidRDefault="00F90D25">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15963F57"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 and SACT resilence group</w:t>
            </w:r>
          </w:p>
        </w:tc>
      </w:tr>
      <w:tr w:rsidR="00F90D25" w14:paraId="3DB13C92" w14:textId="77777777" w:rsidTr="00970C06">
        <w:tc>
          <w:tcPr>
            <w:tcW w:w="1129" w:type="dxa"/>
            <w:tcBorders>
              <w:top w:val="single" w:sz="4" w:space="0" w:color="auto"/>
              <w:left w:val="single" w:sz="4" w:space="0" w:color="auto"/>
              <w:bottom w:val="single" w:sz="4" w:space="0" w:color="auto"/>
              <w:right w:val="single" w:sz="4" w:space="0" w:color="auto"/>
            </w:tcBorders>
            <w:hideMark/>
          </w:tcPr>
          <w:p w14:paraId="27F4A027"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6EB0C8CA"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0F13D84F"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075E09F9" w14:textId="77777777" w:rsidR="00F90D25" w:rsidRDefault="00F90D25">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F90D25" w14:paraId="4394DEB4" w14:textId="77777777" w:rsidTr="00970C06">
        <w:tc>
          <w:tcPr>
            <w:tcW w:w="1129" w:type="dxa"/>
            <w:tcBorders>
              <w:top w:val="single" w:sz="4" w:space="0" w:color="auto"/>
              <w:left w:val="single" w:sz="4" w:space="0" w:color="auto"/>
              <w:bottom w:val="single" w:sz="4" w:space="0" w:color="auto"/>
              <w:right w:val="single" w:sz="4" w:space="0" w:color="auto"/>
            </w:tcBorders>
          </w:tcPr>
          <w:p w14:paraId="536D7FD5" w14:textId="77777777" w:rsidR="00F90D25" w:rsidRDefault="00F90D25">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2ACE0392" w14:textId="77777777" w:rsidR="00F90D25" w:rsidRDefault="00F90D25">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3C6BAED0" w14:textId="77777777" w:rsidR="00F90D25" w:rsidRDefault="00F90D25">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0A1E32F0" w14:textId="77777777" w:rsidR="00F90D25" w:rsidRDefault="00F90D25">
            <w:pPr>
              <w:widowControl w:val="0"/>
              <w:autoSpaceDE w:val="0"/>
              <w:autoSpaceDN w:val="0"/>
              <w:adjustRightInd w:val="0"/>
              <w:rPr>
                <w:rFonts w:ascii="Calibri" w:hAnsi="Calibri"/>
                <w:sz w:val="20"/>
                <w:szCs w:val="20"/>
                <w:lang w:eastAsia="en-GB"/>
              </w:rPr>
            </w:pPr>
          </w:p>
        </w:tc>
      </w:tr>
      <w:tr w:rsidR="00F90D25" w14:paraId="556A7397" w14:textId="77777777" w:rsidTr="00970C06">
        <w:tc>
          <w:tcPr>
            <w:tcW w:w="1129" w:type="dxa"/>
            <w:tcBorders>
              <w:top w:val="single" w:sz="4" w:space="0" w:color="auto"/>
              <w:left w:val="single" w:sz="4" w:space="0" w:color="auto"/>
              <w:bottom w:val="single" w:sz="4" w:space="0" w:color="auto"/>
              <w:right w:val="single" w:sz="4" w:space="0" w:color="auto"/>
            </w:tcBorders>
          </w:tcPr>
          <w:p w14:paraId="41307E1A" w14:textId="77777777" w:rsidR="00F90D25" w:rsidRDefault="00F90D25">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C6275B2" w14:textId="77777777" w:rsidR="00F90D25" w:rsidRDefault="00F90D25">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684A2E17" w14:textId="77777777" w:rsidR="00F90D25" w:rsidRDefault="00F90D25">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00D70F16" w14:textId="77777777" w:rsidR="00F90D25" w:rsidRDefault="00F90D25">
            <w:pPr>
              <w:widowControl w:val="0"/>
              <w:autoSpaceDE w:val="0"/>
              <w:autoSpaceDN w:val="0"/>
              <w:adjustRightInd w:val="0"/>
              <w:rPr>
                <w:rFonts w:ascii="Calibri" w:hAnsi="Calibri"/>
                <w:sz w:val="20"/>
                <w:szCs w:val="20"/>
                <w:lang w:eastAsia="en-GB"/>
              </w:rPr>
            </w:pPr>
          </w:p>
        </w:tc>
      </w:tr>
    </w:tbl>
    <w:p w14:paraId="6FE15553" w14:textId="77777777" w:rsidR="00F90D25" w:rsidRDefault="00F90D25" w:rsidP="00F90D25">
      <w:pPr>
        <w:rPr>
          <w:lang w:val="en-US"/>
        </w:rPr>
      </w:pPr>
    </w:p>
    <w:p w14:paraId="49F51E5A" w14:textId="720305C5" w:rsidR="008A68DE" w:rsidRDefault="008A68DE" w:rsidP="00AA6374">
      <w:pPr>
        <w:spacing w:line="276" w:lineRule="auto"/>
      </w:pPr>
    </w:p>
    <w:sectPr w:rsidR="008A68DE" w:rsidSect="00F53ECD">
      <w:headerReference w:type="default" r:id="rId13"/>
      <w:footerReference w:type="default" r:id="rId14"/>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6CF58038" w14:textId="77777777" w:rsidR="0058702F" w:rsidRDefault="00152D3A" w:rsidP="0058702F">
          <w:pPr>
            <w:pStyle w:val="Footer"/>
            <w:rPr>
              <w:rFonts w:ascii="Calibri" w:hAnsi="Calibri"/>
              <w:sz w:val="20"/>
              <w:szCs w:val="20"/>
            </w:rPr>
          </w:pPr>
          <w:r w:rsidRPr="00C71E05">
            <w:rPr>
              <w:rFonts w:ascii="Calibri" w:hAnsi="Calibri"/>
              <w:sz w:val="20"/>
              <w:szCs w:val="20"/>
            </w:rPr>
            <w:t xml:space="preserve">NCCP </w:t>
          </w:r>
          <w:r w:rsidR="0058702F">
            <w:rPr>
              <w:rFonts w:ascii="Calibri" w:hAnsi="Calibri"/>
              <w:sz w:val="20"/>
              <w:szCs w:val="20"/>
            </w:rPr>
            <w:t>Template SOP</w:t>
          </w:r>
        </w:p>
        <w:p w14:paraId="2C6606D6" w14:textId="3619C7AD" w:rsidR="00152D3A" w:rsidRPr="00C71E05" w:rsidRDefault="00AA6374" w:rsidP="0058702F">
          <w:pPr>
            <w:pStyle w:val="Footer"/>
            <w:rPr>
              <w:rFonts w:ascii="Calibri" w:hAnsi="Calibri"/>
              <w:sz w:val="20"/>
              <w:szCs w:val="20"/>
            </w:rPr>
          </w:pPr>
          <w:r>
            <w:rPr>
              <w:rFonts w:ascii="Calibri" w:hAnsi="Calibri"/>
              <w:sz w:val="20"/>
              <w:szCs w:val="20"/>
            </w:rPr>
            <w:t>Spraying in</w:t>
          </w:r>
          <w:r w:rsidR="009747E3" w:rsidRPr="009747E3">
            <w:rPr>
              <w:rFonts w:ascii="Calibri" w:hAnsi="Calibri"/>
              <w:sz w:val="20"/>
              <w:szCs w:val="20"/>
            </w:rPr>
            <w:t>/T</w:t>
          </w:r>
          <w:r>
            <w:rPr>
              <w:rFonts w:ascii="Calibri" w:hAnsi="Calibri"/>
              <w:sz w:val="20"/>
              <w:szCs w:val="20"/>
            </w:rPr>
            <w:t>ray Transfer</w:t>
          </w:r>
          <w:r w:rsidR="0058702F">
            <w:rPr>
              <w:rFonts w:ascii="Calibri" w:hAnsi="Calibri"/>
              <w:sz w:val="20"/>
              <w:szCs w:val="20"/>
            </w:rPr>
            <w:t xml:space="preserve"> SOP103</w:t>
          </w:r>
        </w:p>
      </w:tc>
      <w:tc>
        <w:tcPr>
          <w:tcW w:w="3685" w:type="dxa"/>
          <w:tcBorders>
            <w:top w:val="single" w:sz="4" w:space="0" w:color="auto"/>
            <w:left w:val="single" w:sz="4" w:space="0" w:color="auto"/>
            <w:bottom w:val="single" w:sz="4" w:space="0" w:color="auto"/>
            <w:right w:val="single" w:sz="4" w:space="0" w:color="auto"/>
          </w:tcBorders>
          <w:hideMark/>
        </w:tcPr>
        <w:p w14:paraId="61211C47" w14:textId="7BCE2A34" w:rsidR="00152D3A" w:rsidRPr="00AA6374" w:rsidRDefault="00152D3A" w:rsidP="004510D1">
          <w:pPr>
            <w:pStyle w:val="Footer"/>
            <w:rPr>
              <w:rFonts w:ascii="Calibri" w:hAnsi="Calibri"/>
              <w:sz w:val="20"/>
              <w:szCs w:val="20"/>
            </w:rPr>
          </w:pPr>
          <w:r w:rsidRPr="00C71E05">
            <w:rPr>
              <w:rFonts w:ascii="Calibri" w:hAnsi="Calibri"/>
              <w:sz w:val="20"/>
              <w:szCs w:val="20"/>
            </w:rPr>
            <w:t xml:space="preserve">Published: </w:t>
          </w:r>
          <w:r w:rsidR="0058702F">
            <w:rPr>
              <w:rFonts w:ascii="Calibri" w:hAnsi="Calibri"/>
              <w:sz w:val="20"/>
              <w:szCs w:val="20"/>
            </w:rPr>
            <w:t>22/12</w:t>
          </w:r>
          <w:r w:rsidR="00AA6374" w:rsidRPr="00AA6374">
            <w:rPr>
              <w:rFonts w:ascii="Calibri" w:hAnsi="Calibri"/>
              <w:sz w:val="20"/>
              <w:szCs w:val="20"/>
            </w:rPr>
            <w:t>/2020</w:t>
          </w:r>
        </w:p>
        <w:p w14:paraId="4E46B625" w14:textId="071B3D8B" w:rsidR="00152D3A" w:rsidRPr="00C71E05" w:rsidRDefault="00152D3A" w:rsidP="0058702F">
          <w:pPr>
            <w:pStyle w:val="Footer"/>
            <w:rPr>
              <w:rFonts w:ascii="Calibri" w:hAnsi="Calibri"/>
              <w:sz w:val="20"/>
              <w:szCs w:val="20"/>
            </w:rPr>
          </w:pPr>
          <w:r w:rsidRPr="00AA6374">
            <w:rPr>
              <w:rFonts w:ascii="Calibri" w:hAnsi="Calibri"/>
              <w:sz w:val="20"/>
              <w:szCs w:val="20"/>
            </w:rPr>
            <w:t xml:space="preserve">    Review:  </w:t>
          </w:r>
          <w:r w:rsidR="0058702F">
            <w:rPr>
              <w:rFonts w:ascii="Calibri" w:hAnsi="Calibri"/>
              <w:sz w:val="20"/>
              <w:szCs w:val="20"/>
            </w:rPr>
            <w:t>21</w:t>
          </w:r>
          <w:r w:rsidR="00AA6374" w:rsidRPr="00AA6374">
            <w:rPr>
              <w:rFonts w:ascii="Calibri" w:hAnsi="Calibri"/>
              <w:sz w:val="20"/>
              <w:szCs w:val="20"/>
            </w:rPr>
            <w:t>/1</w:t>
          </w:r>
          <w:r w:rsidR="0058702F">
            <w:rPr>
              <w:rFonts w:ascii="Calibri" w:hAnsi="Calibri"/>
              <w:sz w:val="20"/>
              <w:szCs w:val="20"/>
            </w:rPr>
            <w:t>2</w:t>
          </w:r>
          <w:r w:rsidR="00AA6374" w:rsidRPr="00AA6374">
            <w:rPr>
              <w:rFonts w:ascii="Calibri" w:hAnsi="Calibri"/>
              <w:sz w:val="20"/>
              <w:szCs w:val="20"/>
            </w:rPr>
            <w:t>/2023</w:t>
          </w:r>
        </w:p>
      </w:tc>
      <w:tc>
        <w:tcPr>
          <w:tcW w:w="2977" w:type="dxa"/>
          <w:tcBorders>
            <w:top w:val="single" w:sz="4" w:space="0" w:color="auto"/>
            <w:left w:val="single" w:sz="4" w:space="0" w:color="auto"/>
            <w:bottom w:val="single" w:sz="4" w:space="0" w:color="auto"/>
            <w:right w:val="single" w:sz="4" w:space="0" w:color="auto"/>
          </w:tcBorders>
          <w:hideMark/>
        </w:tcPr>
        <w:p w14:paraId="09C687EE" w14:textId="2B678B53" w:rsidR="00152D3A" w:rsidRPr="00C71E05" w:rsidRDefault="00152D3A" w:rsidP="004510D1">
          <w:pPr>
            <w:pStyle w:val="Footer"/>
            <w:rPr>
              <w:rFonts w:ascii="Calibri" w:hAnsi="Calibri"/>
              <w:sz w:val="20"/>
              <w:szCs w:val="20"/>
            </w:rPr>
          </w:pPr>
          <w:r w:rsidRPr="00C71E05">
            <w:rPr>
              <w:rFonts w:ascii="Calibri" w:hAnsi="Calibri"/>
              <w:sz w:val="20"/>
              <w:szCs w:val="20"/>
            </w:rPr>
            <w:t xml:space="preserve">Version: </w:t>
          </w:r>
          <w:r w:rsidR="00B37175">
            <w:rPr>
              <w:rFonts w:ascii="Calibri" w:hAnsi="Calibri"/>
              <w:sz w:val="20"/>
              <w:szCs w:val="20"/>
            </w:rPr>
            <w:t>1a</w:t>
          </w:r>
        </w:p>
        <w:p w14:paraId="20596AD0" w14:textId="77777777" w:rsidR="00152D3A" w:rsidRPr="00C71E05" w:rsidRDefault="00152D3A" w:rsidP="004510D1">
          <w:pPr>
            <w:pStyle w:val="Footer"/>
            <w:rPr>
              <w:rFonts w:ascii="Calibri" w:hAnsi="Calibri"/>
              <w:sz w:val="20"/>
              <w:szCs w:val="20"/>
            </w:rPr>
          </w:pPr>
        </w:p>
      </w:tc>
    </w:tr>
  </w:tbl>
  <w:p w14:paraId="7E717893" w14:textId="146B6BD1"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970C06">
      <w:rPr>
        <w:rFonts w:ascii="Calibri" w:hAnsi="Calibri"/>
        <w:bCs/>
        <w:noProof/>
        <w:sz w:val="20"/>
        <w:szCs w:val="20"/>
      </w:rPr>
      <w:t>2</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970C06">
      <w:rPr>
        <w:rFonts w:ascii="Calibri" w:hAnsi="Calibri"/>
        <w:bCs/>
        <w:noProof/>
        <w:sz w:val="20"/>
        <w:szCs w:val="20"/>
      </w:rPr>
      <w:t>7</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128" w14:textId="1956BAE5" w:rsidR="00152D3A" w:rsidRPr="00AB04E8" w:rsidRDefault="00AA6374" w:rsidP="00713BB5">
    <w:pPr>
      <w:rPr>
        <w:rFonts w:ascii="Calibri" w:hAnsi="Calibri" w:cs="Arial"/>
        <w:sz w:val="20"/>
        <w:szCs w:val="20"/>
      </w:rPr>
    </w:pPr>
    <w:r>
      <w:rPr>
        <w:rFonts w:ascii="Calibri" w:hAnsi="Calibri" w:cs="Arial"/>
        <w:sz w:val="20"/>
        <w:szCs w:val="20"/>
      </w:rPr>
      <w:t xml:space="preserve">NCCP </w:t>
    </w:r>
    <w:r w:rsidR="00E84720">
      <w:rPr>
        <w:rFonts w:ascii="Calibri" w:hAnsi="Calibri" w:cs="Arial"/>
        <w:sz w:val="20"/>
        <w:szCs w:val="20"/>
      </w:rPr>
      <w:t>Template</w:t>
    </w:r>
    <w:r w:rsidR="00152D3A" w:rsidRPr="00AB04E8">
      <w:rPr>
        <w:rFonts w:ascii="Calibri" w:hAnsi="Calibri" w:cs="Arial"/>
        <w:sz w:val="20"/>
        <w:szCs w:val="20"/>
      </w:rPr>
      <w:t xml:space="preserve"> </w:t>
    </w:r>
    <w:r w:rsidR="00AB04E8" w:rsidRPr="00AB04E8">
      <w:rPr>
        <w:rFonts w:ascii="Calibri" w:hAnsi="Calibri" w:cs="Arial"/>
        <w:sz w:val="20"/>
        <w:szCs w:val="20"/>
      </w:rPr>
      <w:t>SOP103</w:t>
    </w:r>
    <w:r w:rsidR="00152D3A" w:rsidRPr="00AB04E8">
      <w:rPr>
        <w:rFonts w:ascii="Calibri" w:hAnsi="Calibri" w:cs="Arial"/>
        <w:sz w:val="20"/>
        <w:szCs w:val="20"/>
      </w:rPr>
      <w:t xml:space="preserve"> </w:t>
    </w:r>
    <w:r w:rsidR="00B37175">
      <w:rPr>
        <w:rFonts w:ascii="Calibri" w:hAnsi="Calibri" w:cs="Arial"/>
        <w:sz w:val="20"/>
        <w:szCs w:val="20"/>
      </w:rPr>
      <w:t>–Spraying in/Tray Transfer│V1a</w:t>
    </w:r>
    <w:r w:rsidR="00152D3A" w:rsidRPr="00AB04E8">
      <w:rPr>
        <w:rFonts w:ascii="Calibri" w:hAnsi="Calibri" w:cs="Arial"/>
        <w:sz w:val="20"/>
        <w:szCs w:val="20"/>
      </w:rPr>
      <w:t>│</w:t>
    </w:r>
    <w:r w:rsidR="000173F9">
      <w:rPr>
        <w:rFonts w:ascii="Calibri" w:hAnsi="Calibri" w:cs="Arial"/>
        <w:sz w:val="20"/>
        <w:szCs w:val="20"/>
      </w:rPr>
      <w:t>2021</w:t>
    </w:r>
  </w:p>
  <w:p w14:paraId="521178ED" w14:textId="77777777" w:rsidR="00152D3A" w:rsidRDefault="0015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C936B9E"/>
    <w:multiLevelType w:val="hybridMultilevel"/>
    <w:tmpl w:val="97E25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12FC8"/>
    <w:multiLevelType w:val="hybridMultilevel"/>
    <w:tmpl w:val="C78E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23794D"/>
    <w:multiLevelType w:val="multilevel"/>
    <w:tmpl w:val="0409001F"/>
    <w:numStyleLink w:val="111111"/>
  </w:abstractNum>
  <w:abstractNum w:abstractNumId="19"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28" w15:restartNumberingAfterBreak="0">
    <w:nsid w:val="5FE17BCD"/>
    <w:multiLevelType w:val="hybridMultilevel"/>
    <w:tmpl w:val="77EC1B08"/>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9"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7"/>
  </w:num>
  <w:num w:numId="3">
    <w:abstractNumId w:val="14"/>
  </w:num>
  <w:num w:numId="4">
    <w:abstractNumId w:val="1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3"/>
  </w:num>
  <w:num w:numId="9">
    <w:abstractNumId w:val="21"/>
  </w:num>
  <w:num w:numId="10">
    <w:abstractNumId w:val="31"/>
  </w:num>
  <w:num w:numId="11">
    <w:abstractNumId w:val="24"/>
  </w:num>
  <w:num w:numId="12">
    <w:abstractNumId w:val="34"/>
  </w:num>
  <w:num w:numId="13">
    <w:abstractNumId w:val="20"/>
  </w:num>
  <w:num w:numId="14">
    <w:abstractNumId w:val="33"/>
  </w:num>
  <w:num w:numId="15">
    <w:abstractNumId w:val="17"/>
  </w:num>
  <w:num w:numId="16">
    <w:abstractNumId w:val="30"/>
  </w:num>
  <w:num w:numId="17">
    <w:abstractNumId w:val="9"/>
  </w:num>
  <w:num w:numId="18">
    <w:abstractNumId w:val="19"/>
  </w:num>
  <w:num w:numId="19">
    <w:abstractNumId w:val="12"/>
  </w:num>
  <w:num w:numId="20">
    <w:abstractNumId w:val="0"/>
  </w:num>
  <w:num w:numId="21">
    <w:abstractNumId w:val="15"/>
  </w:num>
  <w:num w:numId="22">
    <w:abstractNumId w:val="5"/>
  </w:num>
  <w:num w:numId="23">
    <w:abstractNumId w:val="32"/>
  </w:num>
  <w:num w:numId="24">
    <w:abstractNumId w:val="29"/>
  </w:num>
  <w:num w:numId="25">
    <w:abstractNumId w:val="1"/>
  </w:num>
  <w:num w:numId="26">
    <w:abstractNumId w:val="16"/>
  </w:num>
  <w:num w:numId="27">
    <w:abstractNumId w:val="4"/>
  </w:num>
  <w:num w:numId="28">
    <w:abstractNumId w:val="26"/>
  </w:num>
  <w:num w:numId="29">
    <w:abstractNumId w:val="6"/>
  </w:num>
  <w:num w:numId="30">
    <w:abstractNumId w:val="22"/>
  </w:num>
  <w:num w:numId="31">
    <w:abstractNumId w:val="13"/>
  </w:num>
  <w:num w:numId="32">
    <w:abstractNumId w:val="25"/>
  </w:num>
  <w:num w:numId="33">
    <w:abstractNumId w:val="10"/>
  </w:num>
  <w:num w:numId="34">
    <w:abstractNumId w:val="7"/>
  </w:num>
  <w:num w:numId="35">
    <w:abstractNumId w:val="8"/>
  </w:num>
  <w:num w:numId="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173F9"/>
    <w:rsid w:val="000307DC"/>
    <w:rsid w:val="00051766"/>
    <w:rsid w:val="00054748"/>
    <w:rsid w:val="00087B81"/>
    <w:rsid w:val="0009311B"/>
    <w:rsid w:val="000936E2"/>
    <w:rsid w:val="000A42B5"/>
    <w:rsid w:val="000C2C2D"/>
    <w:rsid w:val="000C58C8"/>
    <w:rsid w:val="000C75B2"/>
    <w:rsid w:val="000D1F77"/>
    <w:rsid w:val="000D202E"/>
    <w:rsid w:val="000D3603"/>
    <w:rsid w:val="000E3022"/>
    <w:rsid w:val="000E3DC2"/>
    <w:rsid w:val="000E3FFF"/>
    <w:rsid w:val="000E7E83"/>
    <w:rsid w:val="000F13BF"/>
    <w:rsid w:val="000F77AF"/>
    <w:rsid w:val="000F7C92"/>
    <w:rsid w:val="00106D5E"/>
    <w:rsid w:val="00107396"/>
    <w:rsid w:val="00114F9F"/>
    <w:rsid w:val="00121F82"/>
    <w:rsid w:val="001401A5"/>
    <w:rsid w:val="00141292"/>
    <w:rsid w:val="00146492"/>
    <w:rsid w:val="00151D02"/>
    <w:rsid w:val="00152D3A"/>
    <w:rsid w:val="001538AC"/>
    <w:rsid w:val="00155A52"/>
    <w:rsid w:val="00156E29"/>
    <w:rsid w:val="00165288"/>
    <w:rsid w:val="001741C6"/>
    <w:rsid w:val="00176F6B"/>
    <w:rsid w:val="00190568"/>
    <w:rsid w:val="001A3B03"/>
    <w:rsid w:val="001A7DB4"/>
    <w:rsid w:val="001B6143"/>
    <w:rsid w:val="001D4CC3"/>
    <w:rsid w:val="00203425"/>
    <w:rsid w:val="0020607A"/>
    <w:rsid w:val="00206ACE"/>
    <w:rsid w:val="00206B11"/>
    <w:rsid w:val="00210B4F"/>
    <w:rsid w:val="00220C7A"/>
    <w:rsid w:val="00221C58"/>
    <w:rsid w:val="002254A6"/>
    <w:rsid w:val="00225EE9"/>
    <w:rsid w:val="0022600E"/>
    <w:rsid w:val="002300A3"/>
    <w:rsid w:val="0023442E"/>
    <w:rsid w:val="00235AFC"/>
    <w:rsid w:val="00237A10"/>
    <w:rsid w:val="00240CD9"/>
    <w:rsid w:val="00245F0B"/>
    <w:rsid w:val="0025029B"/>
    <w:rsid w:val="00253B8B"/>
    <w:rsid w:val="002610D2"/>
    <w:rsid w:val="00263F29"/>
    <w:rsid w:val="0027522E"/>
    <w:rsid w:val="00276BA1"/>
    <w:rsid w:val="0029121F"/>
    <w:rsid w:val="002943F2"/>
    <w:rsid w:val="00295A89"/>
    <w:rsid w:val="002A6132"/>
    <w:rsid w:val="002A66DE"/>
    <w:rsid w:val="002E4A43"/>
    <w:rsid w:val="002E645C"/>
    <w:rsid w:val="002E6FF0"/>
    <w:rsid w:val="002E71AD"/>
    <w:rsid w:val="002E7CA0"/>
    <w:rsid w:val="002F37BC"/>
    <w:rsid w:val="00306A7A"/>
    <w:rsid w:val="00323B00"/>
    <w:rsid w:val="00325479"/>
    <w:rsid w:val="003520A8"/>
    <w:rsid w:val="00353252"/>
    <w:rsid w:val="003738B7"/>
    <w:rsid w:val="00385567"/>
    <w:rsid w:val="003A7B0D"/>
    <w:rsid w:val="003B5227"/>
    <w:rsid w:val="003C23BD"/>
    <w:rsid w:val="003C3487"/>
    <w:rsid w:val="003D1FD3"/>
    <w:rsid w:val="003D7F36"/>
    <w:rsid w:val="0040427B"/>
    <w:rsid w:val="004060F0"/>
    <w:rsid w:val="00406FF7"/>
    <w:rsid w:val="0041555F"/>
    <w:rsid w:val="00425832"/>
    <w:rsid w:val="00432DEE"/>
    <w:rsid w:val="00442E23"/>
    <w:rsid w:val="004451CE"/>
    <w:rsid w:val="004510D1"/>
    <w:rsid w:val="00453E69"/>
    <w:rsid w:val="004545BA"/>
    <w:rsid w:val="00456D47"/>
    <w:rsid w:val="00463316"/>
    <w:rsid w:val="00467627"/>
    <w:rsid w:val="004712F8"/>
    <w:rsid w:val="0048232D"/>
    <w:rsid w:val="00487C9F"/>
    <w:rsid w:val="0049439C"/>
    <w:rsid w:val="004975A8"/>
    <w:rsid w:val="004B272E"/>
    <w:rsid w:val="004B31F9"/>
    <w:rsid w:val="004C227B"/>
    <w:rsid w:val="004C6CE3"/>
    <w:rsid w:val="004D5726"/>
    <w:rsid w:val="004E0230"/>
    <w:rsid w:val="004E02CA"/>
    <w:rsid w:val="004F6B69"/>
    <w:rsid w:val="004F783F"/>
    <w:rsid w:val="00502FC3"/>
    <w:rsid w:val="005139AF"/>
    <w:rsid w:val="00517D90"/>
    <w:rsid w:val="005306E4"/>
    <w:rsid w:val="00540DC9"/>
    <w:rsid w:val="00540EA3"/>
    <w:rsid w:val="00542153"/>
    <w:rsid w:val="00545B1F"/>
    <w:rsid w:val="0056492B"/>
    <w:rsid w:val="0056777C"/>
    <w:rsid w:val="00576AF1"/>
    <w:rsid w:val="005810BA"/>
    <w:rsid w:val="00582C57"/>
    <w:rsid w:val="0058702F"/>
    <w:rsid w:val="00587C12"/>
    <w:rsid w:val="005904BE"/>
    <w:rsid w:val="00592555"/>
    <w:rsid w:val="00592E88"/>
    <w:rsid w:val="005A024C"/>
    <w:rsid w:val="005A4044"/>
    <w:rsid w:val="005B1AA7"/>
    <w:rsid w:val="005C1783"/>
    <w:rsid w:val="005C2211"/>
    <w:rsid w:val="005C2513"/>
    <w:rsid w:val="005D1C86"/>
    <w:rsid w:val="005E5BC9"/>
    <w:rsid w:val="005F580F"/>
    <w:rsid w:val="005F7534"/>
    <w:rsid w:val="00612B07"/>
    <w:rsid w:val="0062274B"/>
    <w:rsid w:val="00623578"/>
    <w:rsid w:val="00634B33"/>
    <w:rsid w:val="00641DDF"/>
    <w:rsid w:val="006423E1"/>
    <w:rsid w:val="006512F4"/>
    <w:rsid w:val="00662D6D"/>
    <w:rsid w:val="00663B74"/>
    <w:rsid w:val="0067344B"/>
    <w:rsid w:val="00675402"/>
    <w:rsid w:val="00684224"/>
    <w:rsid w:val="00694518"/>
    <w:rsid w:val="006A677F"/>
    <w:rsid w:val="006B7B3B"/>
    <w:rsid w:val="006B7F6B"/>
    <w:rsid w:val="006C0754"/>
    <w:rsid w:val="006C2C67"/>
    <w:rsid w:val="006D3B35"/>
    <w:rsid w:val="006D3E58"/>
    <w:rsid w:val="006F09B7"/>
    <w:rsid w:val="006F5AFB"/>
    <w:rsid w:val="007074F6"/>
    <w:rsid w:val="00713BB5"/>
    <w:rsid w:val="00716858"/>
    <w:rsid w:val="00717485"/>
    <w:rsid w:val="00723A72"/>
    <w:rsid w:val="00726BCF"/>
    <w:rsid w:val="00730EB8"/>
    <w:rsid w:val="00737CFE"/>
    <w:rsid w:val="00747D37"/>
    <w:rsid w:val="0075397A"/>
    <w:rsid w:val="007551F9"/>
    <w:rsid w:val="00757CF0"/>
    <w:rsid w:val="007602FF"/>
    <w:rsid w:val="00783277"/>
    <w:rsid w:val="00787902"/>
    <w:rsid w:val="0079186D"/>
    <w:rsid w:val="00791877"/>
    <w:rsid w:val="00791A65"/>
    <w:rsid w:val="007A6436"/>
    <w:rsid w:val="007B39BC"/>
    <w:rsid w:val="007B7480"/>
    <w:rsid w:val="007B7DC7"/>
    <w:rsid w:val="007D5873"/>
    <w:rsid w:val="00802C64"/>
    <w:rsid w:val="00815468"/>
    <w:rsid w:val="00824C99"/>
    <w:rsid w:val="008255C8"/>
    <w:rsid w:val="00834E02"/>
    <w:rsid w:val="00834E0E"/>
    <w:rsid w:val="008363BD"/>
    <w:rsid w:val="00842960"/>
    <w:rsid w:val="00850314"/>
    <w:rsid w:val="0085326F"/>
    <w:rsid w:val="008569F4"/>
    <w:rsid w:val="00857D59"/>
    <w:rsid w:val="008612C6"/>
    <w:rsid w:val="008705A8"/>
    <w:rsid w:val="00870D14"/>
    <w:rsid w:val="00871545"/>
    <w:rsid w:val="00882D9E"/>
    <w:rsid w:val="00883173"/>
    <w:rsid w:val="00892092"/>
    <w:rsid w:val="008936F1"/>
    <w:rsid w:val="008A21FD"/>
    <w:rsid w:val="008A4CC1"/>
    <w:rsid w:val="008A68DE"/>
    <w:rsid w:val="008A7A9E"/>
    <w:rsid w:val="008B5A0A"/>
    <w:rsid w:val="008C062F"/>
    <w:rsid w:val="008C177D"/>
    <w:rsid w:val="008D6318"/>
    <w:rsid w:val="008E1793"/>
    <w:rsid w:val="008E7026"/>
    <w:rsid w:val="008E7919"/>
    <w:rsid w:val="008F452E"/>
    <w:rsid w:val="008F61FB"/>
    <w:rsid w:val="00901C95"/>
    <w:rsid w:val="00906555"/>
    <w:rsid w:val="00911422"/>
    <w:rsid w:val="00923BF5"/>
    <w:rsid w:val="00931BC9"/>
    <w:rsid w:val="009470E2"/>
    <w:rsid w:val="0095052B"/>
    <w:rsid w:val="00956FEE"/>
    <w:rsid w:val="009605BD"/>
    <w:rsid w:val="009669C0"/>
    <w:rsid w:val="00970C06"/>
    <w:rsid w:val="009747E3"/>
    <w:rsid w:val="0098112F"/>
    <w:rsid w:val="0099446F"/>
    <w:rsid w:val="00995B00"/>
    <w:rsid w:val="009A3436"/>
    <w:rsid w:val="009B02D5"/>
    <w:rsid w:val="009C5A5F"/>
    <w:rsid w:val="009D4C23"/>
    <w:rsid w:val="009D78DE"/>
    <w:rsid w:val="009E3419"/>
    <w:rsid w:val="009E3801"/>
    <w:rsid w:val="00A11DD7"/>
    <w:rsid w:val="00A304F4"/>
    <w:rsid w:val="00A35994"/>
    <w:rsid w:val="00A45E06"/>
    <w:rsid w:val="00A538DC"/>
    <w:rsid w:val="00A562EC"/>
    <w:rsid w:val="00A56439"/>
    <w:rsid w:val="00A61676"/>
    <w:rsid w:val="00A72CF5"/>
    <w:rsid w:val="00A765DA"/>
    <w:rsid w:val="00A94CF3"/>
    <w:rsid w:val="00AA4739"/>
    <w:rsid w:val="00AA5797"/>
    <w:rsid w:val="00AA6374"/>
    <w:rsid w:val="00AA6CE5"/>
    <w:rsid w:val="00AB04E8"/>
    <w:rsid w:val="00AB22CE"/>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99F"/>
    <w:rsid w:val="00B17E7B"/>
    <w:rsid w:val="00B35C7B"/>
    <w:rsid w:val="00B37148"/>
    <w:rsid w:val="00B37175"/>
    <w:rsid w:val="00B436E1"/>
    <w:rsid w:val="00B54B68"/>
    <w:rsid w:val="00B554A1"/>
    <w:rsid w:val="00B61E45"/>
    <w:rsid w:val="00B6207E"/>
    <w:rsid w:val="00B65B3A"/>
    <w:rsid w:val="00B74D26"/>
    <w:rsid w:val="00B75041"/>
    <w:rsid w:val="00B77A88"/>
    <w:rsid w:val="00B8373F"/>
    <w:rsid w:val="00B90926"/>
    <w:rsid w:val="00B93689"/>
    <w:rsid w:val="00BA1326"/>
    <w:rsid w:val="00BA32B3"/>
    <w:rsid w:val="00BB3031"/>
    <w:rsid w:val="00BC2533"/>
    <w:rsid w:val="00BC7E87"/>
    <w:rsid w:val="00BD4A76"/>
    <w:rsid w:val="00BD659F"/>
    <w:rsid w:val="00BF0A05"/>
    <w:rsid w:val="00C039C7"/>
    <w:rsid w:val="00C1426A"/>
    <w:rsid w:val="00C15B54"/>
    <w:rsid w:val="00C31B70"/>
    <w:rsid w:val="00C31BAD"/>
    <w:rsid w:val="00C372C3"/>
    <w:rsid w:val="00C5008A"/>
    <w:rsid w:val="00C675CE"/>
    <w:rsid w:val="00C67CF3"/>
    <w:rsid w:val="00C71E05"/>
    <w:rsid w:val="00C77082"/>
    <w:rsid w:val="00C87261"/>
    <w:rsid w:val="00C931AB"/>
    <w:rsid w:val="00C940BE"/>
    <w:rsid w:val="00CA6B24"/>
    <w:rsid w:val="00CB21DB"/>
    <w:rsid w:val="00CB2A2F"/>
    <w:rsid w:val="00CB3CCF"/>
    <w:rsid w:val="00CD4509"/>
    <w:rsid w:val="00CE3D7C"/>
    <w:rsid w:val="00CE3D93"/>
    <w:rsid w:val="00D1086E"/>
    <w:rsid w:val="00D1203A"/>
    <w:rsid w:val="00D12FA1"/>
    <w:rsid w:val="00D166BA"/>
    <w:rsid w:val="00D22921"/>
    <w:rsid w:val="00D255D0"/>
    <w:rsid w:val="00D26799"/>
    <w:rsid w:val="00D337CD"/>
    <w:rsid w:val="00D36FE9"/>
    <w:rsid w:val="00D41F7C"/>
    <w:rsid w:val="00D45CF2"/>
    <w:rsid w:val="00D52190"/>
    <w:rsid w:val="00D70381"/>
    <w:rsid w:val="00D724EE"/>
    <w:rsid w:val="00D81D4C"/>
    <w:rsid w:val="00D84DD7"/>
    <w:rsid w:val="00D91FEF"/>
    <w:rsid w:val="00D951AB"/>
    <w:rsid w:val="00DA04F1"/>
    <w:rsid w:val="00DB38EA"/>
    <w:rsid w:val="00DE1086"/>
    <w:rsid w:val="00E01F0D"/>
    <w:rsid w:val="00E02179"/>
    <w:rsid w:val="00E02293"/>
    <w:rsid w:val="00E0526A"/>
    <w:rsid w:val="00E11B1A"/>
    <w:rsid w:val="00E147BF"/>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CFF"/>
    <w:rsid w:val="00E84720"/>
    <w:rsid w:val="00EB14A4"/>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37F5"/>
    <w:rsid w:val="00F22AEF"/>
    <w:rsid w:val="00F41FD4"/>
    <w:rsid w:val="00F47DA0"/>
    <w:rsid w:val="00F53ECD"/>
    <w:rsid w:val="00F66D2F"/>
    <w:rsid w:val="00F67574"/>
    <w:rsid w:val="00F71B5D"/>
    <w:rsid w:val="00F80177"/>
    <w:rsid w:val="00F862E2"/>
    <w:rsid w:val="00F90D25"/>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B61AC3"/>
  <w15:docId w15:val="{ED90AAF7-7BBF-40C6-98F7-B4C6E514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165288"/>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165288"/>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99"/>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284577935">
      <w:bodyDiv w:val="1"/>
      <w:marLeft w:val="0"/>
      <w:marRight w:val="0"/>
      <w:marTop w:val="0"/>
      <w:marBottom w:val="0"/>
      <w:divBdr>
        <w:top w:val="none" w:sz="0" w:space="0" w:color="auto"/>
        <w:left w:val="none" w:sz="0" w:space="0" w:color="auto"/>
        <w:bottom w:val="none" w:sz="0" w:space="0" w:color="auto"/>
        <w:right w:val="none" w:sz="0" w:space="0" w:color="auto"/>
      </w:divBdr>
    </w:div>
    <w:div w:id="1385715828">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erpac.net/plateforme/pluginfile.php/991/mod_resource/content/1/NHS%20PQAC%20YCD%20Guidance%20for%20Aseptic%20Transfer%20-%20Sporicidal%20Disinfectants%202015%201st%20Edn%20%282%2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F08EE-5917-4C14-9F6E-EF3879AD16B4}">
  <ds:schemaRefs>
    <ds:schemaRef ds:uri="http://schemas.openxmlformats.org/officeDocument/2006/bibliography"/>
  </ds:schemaRefs>
</ds:datastoreItem>
</file>

<file path=customXml/itemProps2.xml><?xml version="1.0" encoding="utf-8"?>
<ds:datastoreItem xmlns:ds="http://schemas.openxmlformats.org/officeDocument/2006/customXml" ds:itemID="{5DE692E9-B610-44B4-8517-A64BF624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NCCP Temp ACU SOP103 Spraying in Tray Transfer technique</vt:lpstr>
    </vt:vector>
  </TitlesOfParts>
  <Company>NCCP</Company>
  <LinksUpToDate>false</LinksUpToDate>
  <CharactersWithSpaces>9047</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SOP103 Spraying in Tray Transfer technique v1a</dc:title>
  <dc:creator>Patricia Heckmann, AM DeFrein</dc:creator>
  <cp:lastModifiedBy>Elizabeth Breen</cp:lastModifiedBy>
  <cp:revision>6</cp:revision>
  <cp:lastPrinted>2019-08-22T11:50:00Z</cp:lastPrinted>
  <dcterms:created xsi:type="dcterms:W3CDTF">2021-09-20T10:16:00Z</dcterms:created>
  <dcterms:modified xsi:type="dcterms:W3CDTF">2021-09-22T15:33:00Z</dcterms:modified>
</cp:coreProperties>
</file>